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C3602" w14:textId="77777777" w:rsidR="00AA2A08" w:rsidRPr="00592C4C" w:rsidRDefault="00AA2A08" w:rsidP="00AA2A08">
      <w:pPr>
        <w:pStyle w:val="L1"/>
        <w:rPr>
          <w:rFonts w:asciiTheme="minorHAnsi" w:hAnsiTheme="minorHAnsi" w:cstheme="minorHAnsi"/>
          <w:sz w:val="22"/>
          <w:szCs w:val="22"/>
          <w:u w:val="single"/>
        </w:rPr>
      </w:pPr>
      <w:r w:rsidRPr="00592C4C">
        <w:rPr>
          <w:rFonts w:asciiTheme="minorHAnsi" w:hAnsiTheme="minorHAnsi" w:cstheme="minorHAnsi"/>
          <w:sz w:val="22"/>
          <w:szCs w:val="22"/>
          <w:u w:val="single"/>
        </w:rPr>
        <w:t>Strategic Commissioning Group – 6/12/23</w:t>
      </w:r>
    </w:p>
    <w:p w14:paraId="6AED70CA" w14:textId="77777777" w:rsidR="00AA2A08" w:rsidRPr="00592C4C" w:rsidRDefault="00AA2A08" w:rsidP="00AA2A08">
      <w:pPr>
        <w:pStyle w:val="L1"/>
        <w:rPr>
          <w:rFonts w:asciiTheme="minorHAnsi" w:hAnsiTheme="minorHAnsi" w:cstheme="minorHAnsi"/>
          <w:sz w:val="22"/>
          <w:szCs w:val="22"/>
        </w:rPr>
      </w:pPr>
    </w:p>
    <w:p w14:paraId="6FB0B8CD" w14:textId="5D6D6714" w:rsidR="00AA2A08" w:rsidRPr="00592C4C" w:rsidRDefault="00AA2A08" w:rsidP="00AA2A08">
      <w:pPr>
        <w:pStyle w:val="L2"/>
        <w:rPr>
          <w:rFonts w:asciiTheme="minorHAnsi" w:hAnsiTheme="minorHAnsi" w:cstheme="minorHAnsi"/>
          <w:sz w:val="22"/>
          <w:szCs w:val="22"/>
        </w:rPr>
      </w:pPr>
      <w:r w:rsidRPr="00592C4C">
        <w:rPr>
          <w:rFonts w:asciiTheme="minorHAnsi" w:hAnsiTheme="minorHAnsi" w:cstheme="minorHAnsi"/>
          <w:sz w:val="22"/>
          <w:szCs w:val="22"/>
        </w:rPr>
        <w:tab/>
        <w:t xml:space="preserve">VASLan presented to the HSCP Strategic Commissioning Group on 6/12/23, with a view to getting all the arrangements around the next cycle of the Integrated Care Fund approved. The following was </w:t>
      </w:r>
      <w:proofErr w:type="gramStart"/>
      <w:r w:rsidRPr="00592C4C">
        <w:rPr>
          <w:rFonts w:asciiTheme="minorHAnsi" w:hAnsiTheme="minorHAnsi" w:cstheme="minorHAnsi"/>
          <w:sz w:val="22"/>
          <w:szCs w:val="22"/>
        </w:rPr>
        <w:t>agreed;</w:t>
      </w:r>
      <w:proofErr w:type="gramEnd"/>
    </w:p>
    <w:tbl>
      <w:tblPr>
        <w:tblW w:w="0" w:type="auto"/>
        <w:tblLook w:val="01E0" w:firstRow="1" w:lastRow="1" w:firstColumn="1" w:lastColumn="1" w:noHBand="0" w:noVBand="0"/>
      </w:tblPr>
      <w:tblGrid>
        <w:gridCol w:w="9026"/>
      </w:tblGrid>
      <w:tr w:rsidR="00592C4C" w:rsidRPr="00592C4C" w14:paraId="64BDFEF6" w14:textId="77777777" w:rsidTr="005313F5">
        <w:tc>
          <w:tcPr>
            <w:tcW w:w="9048" w:type="dxa"/>
            <w:tcBorders>
              <w:top w:val="nil"/>
              <w:left w:val="nil"/>
              <w:bottom w:val="nil"/>
              <w:right w:val="nil"/>
            </w:tcBorders>
          </w:tcPr>
          <w:p w14:paraId="69AE74A6" w14:textId="0AB8831E" w:rsidR="00AA2A08" w:rsidRPr="00592C4C" w:rsidRDefault="00AA2A08" w:rsidP="005313F5">
            <w:pPr>
              <w:rPr>
                <w:rFonts w:asciiTheme="minorHAnsi" w:hAnsiTheme="minorHAnsi" w:cstheme="minorHAnsi"/>
                <w:sz w:val="22"/>
                <w:szCs w:val="22"/>
              </w:rPr>
            </w:pPr>
          </w:p>
        </w:tc>
      </w:tr>
    </w:tbl>
    <w:p w14:paraId="67EB0A77" w14:textId="77777777" w:rsidR="00AA2A08" w:rsidRPr="00592C4C" w:rsidRDefault="00AA2A08" w:rsidP="00AA2A08">
      <w:pPr>
        <w:pStyle w:val="ListParagraph"/>
        <w:numPr>
          <w:ilvl w:val="0"/>
          <w:numId w:val="1"/>
        </w:numPr>
        <w:ind w:left="567"/>
        <w:rPr>
          <w:rFonts w:asciiTheme="minorHAnsi" w:hAnsiTheme="minorHAnsi" w:cstheme="minorHAnsi"/>
          <w:sz w:val="22"/>
          <w:szCs w:val="22"/>
        </w:rPr>
      </w:pPr>
      <w:r w:rsidRPr="00592C4C">
        <w:rPr>
          <w:rFonts w:asciiTheme="minorHAnsi" w:hAnsiTheme="minorHAnsi" w:cstheme="minorHAnsi"/>
          <w:sz w:val="22"/>
          <w:szCs w:val="22"/>
        </w:rPr>
        <w:t>That the funding allocation be confirmed at £1.3m (£650k p/a) for the period April 2024 to March 2026</w:t>
      </w:r>
    </w:p>
    <w:p w14:paraId="3EFD7509" w14:textId="77777777" w:rsidR="00AA2A08" w:rsidRPr="00592C4C" w:rsidRDefault="00AA2A08" w:rsidP="00AA2A08">
      <w:pPr>
        <w:pStyle w:val="ListParagraph"/>
        <w:numPr>
          <w:ilvl w:val="0"/>
          <w:numId w:val="1"/>
        </w:numPr>
        <w:ind w:left="567"/>
        <w:rPr>
          <w:rFonts w:asciiTheme="minorHAnsi" w:hAnsiTheme="minorHAnsi" w:cstheme="minorHAnsi"/>
          <w:sz w:val="22"/>
          <w:szCs w:val="22"/>
        </w:rPr>
      </w:pPr>
      <w:r w:rsidRPr="00592C4C">
        <w:rPr>
          <w:rFonts w:asciiTheme="minorHAnsi" w:hAnsiTheme="minorHAnsi" w:cstheme="minorHAnsi"/>
          <w:sz w:val="22"/>
          <w:szCs w:val="22"/>
        </w:rPr>
        <w:t>The priorities for the fund are approved, and the range of voices and opinions heard at Locality Networks were factored into the decision making (360 feedback below)</w:t>
      </w:r>
    </w:p>
    <w:p w14:paraId="1C7FB323" w14:textId="77777777" w:rsidR="00AA2A08" w:rsidRPr="00592C4C" w:rsidRDefault="00AA2A08" w:rsidP="00AA2A08">
      <w:pPr>
        <w:pStyle w:val="ListParagraph"/>
        <w:numPr>
          <w:ilvl w:val="0"/>
          <w:numId w:val="1"/>
        </w:numPr>
        <w:ind w:left="567"/>
        <w:rPr>
          <w:rFonts w:asciiTheme="minorHAnsi" w:hAnsiTheme="minorHAnsi" w:cstheme="minorHAnsi"/>
          <w:sz w:val="22"/>
          <w:szCs w:val="22"/>
        </w:rPr>
      </w:pPr>
      <w:r w:rsidRPr="00592C4C">
        <w:rPr>
          <w:rFonts w:asciiTheme="minorHAnsi" w:hAnsiTheme="minorHAnsi" w:cstheme="minorHAnsi"/>
          <w:sz w:val="22"/>
          <w:szCs w:val="22"/>
        </w:rPr>
        <w:t xml:space="preserve">The process for the next funding round from the timeline for applications (within the deadlines we are operating within) to the improved and more proportionate evaluation </w:t>
      </w:r>
      <w:proofErr w:type="gramStart"/>
      <w:r w:rsidRPr="00592C4C">
        <w:rPr>
          <w:rFonts w:asciiTheme="minorHAnsi" w:hAnsiTheme="minorHAnsi" w:cstheme="minorHAnsi"/>
          <w:sz w:val="22"/>
          <w:szCs w:val="22"/>
        </w:rPr>
        <w:t>process</w:t>
      </w:r>
      <w:proofErr w:type="gramEnd"/>
    </w:p>
    <w:p w14:paraId="47F4125F" w14:textId="77777777" w:rsidR="00F2321B" w:rsidRPr="00592C4C" w:rsidRDefault="00F2321B"/>
    <w:p w14:paraId="131B2099" w14:textId="77777777" w:rsidR="00AA2A08" w:rsidRPr="00592C4C" w:rsidRDefault="00AA2A08"/>
    <w:p w14:paraId="330BB8D4" w14:textId="77777777" w:rsidR="00AA2A08" w:rsidRPr="00592C4C" w:rsidRDefault="00AA2A08" w:rsidP="00AA2A08">
      <w:pPr>
        <w:pStyle w:val="L1"/>
        <w:rPr>
          <w:rFonts w:asciiTheme="minorHAnsi" w:hAnsiTheme="minorHAnsi" w:cstheme="minorHAnsi"/>
          <w:sz w:val="22"/>
          <w:szCs w:val="22"/>
          <w:u w:val="single"/>
        </w:rPr>
      </w:pPr>
      <w:r w:rsidRPr="00592C4C">
        <w:rPr>
          <w:rFonts w:asciiTheme="minorHAnsi" w:hAnsiTheme="minorHAnsi" w:cstheme="minorHAnsi"/>
          <w:sz w:val="22"/>
          <w:szCs w:val="22"/>
          <w:u w:val="single"/>
        </w:rPr>
        <w:t>Community Feedback from the Third Sector</w:t>
      </w:r>
    </w:p>
    <w:p w14:paraId="3E099B33" w14:textId="77777777" w:rsidR="00AA2A08" w:rsidRPr="00592C4C" w:rsidRDefault="00AA2A08" w:rsidP="00AA2A08">
      <w:pPr>
        <w:pStyle w:val="L1"/>
        <w:rPr>
          <w:rFonts w:asciiTheme="minorHAnsi" w:hAnsiTheme="minorHAnsi" w:cstheme="minorHAnsi"/>
          <w:sz w:val="22"/>
          <w:szCs w:val="22"/>
        </w:rPr>
      </w:pPr>
    </w:p>
    <w:p w14:paraId="63BE7D99" w14:textId="2F878EA3" w:rsidR="00AA2A08" w:rsidRPr="00592C4C" w:rsidRDefault="00AA2A08" w:rsidP="00AA2A08">
      <w:pPr>
        <w:pStyle w:val="L2"/>
        <w:rPr>
          <w:rFonts w:asciiTheme="minorHAnsi" w:hAnsiTheme="minorHAnsi" w:cstheme="minorHAnsi"/>
          <w:sz w:val="22"/>
          <w:szCs w:val="22"/>
        </w:rPr>
      </w:pPr>
      <w:r w:rsidRPr="00592C4C">
        <w:rPr>
          <w:rFonts w:asciiTheme="minorHAnsi" w:hAnsiTheme="minorHAnsi" w:cstheme="minorHAnsi"/>
          <w:sz w:val="22"/>
          <w:szCs w:val="22"/>
        </w:rPr>
        <w:tab/>
        <w:t>VASLan facilitate Locality Networks in each locality, where local third sector organisations take the lead and convene local organisations to explore deeper partnership and collaboration. Supported by the Health and Social Care Partnership, amongst other priorities, we (1) facilitate and support an increase in community engagement related to health and care initiatives, and (2) test local views on what matters in health and care.</w:t>
      </w:r>
    </w:p>
    <w:p w14:paraId="1DE53598" w14:textId="77777777" w:rsidR="00AA2A08" w:rsidRPr="00592C4C" w:rsidRDefault="00AA2A08" w:rsidP="00AA2A08">
      <w:pPr>
        <w:pStyle w:val="L2"/>
        <w:rPr>
          <w:rFonts w:asciiTheme="minorHAnsi" w:hAnsiTheme="minorHAnsi" w:cstheme="minorHAnsi"/>
          <w:sz w:val="22"/>
          <w:szCs w:val="22"/>
        </w:rPr>
      </w:pPr>
    </w:p>
    <w:p w14:paraId="7D45C7FB" w14:textId="18AD8CB1" w:rsidR="00AA2A08" w:rsidRPr="00592C4C" w:rsidRDefault="00AA2A08" w:rsidP="00AA2A08">
      <w:pPr>
        <w:pStyle w:val="L2"/>
        <w:rPr>
          <w:rFonts w:asciiTheme="minorHAnsi" w:hAnsiTheme="minorHAnsi" w:cstheme="minorHAnsi"/>
          <w:sz w:val="22"/>
          <w:szCs w:val="22"/>
        </w:rPr>
      </w:pPr>
      <w:r w:rsidRPr="00592C4C">
        <w:rPr>
          <w:rFonts w:asciiTheme="minorHAnsi" w:hAnsiTheme="minorHAnsi" w:cstheme="minorHAnsi"/>
          <w:sz w:val="22"/>
          <w:szCs w:val="22"/>
        </w:rPr>
        <w:tab/>
        <w:t xml:space="preserve">Through the Locality Networks, VASLan held consultation events on the future of the ICF. VASLan also carried out similar activity with current grant holders, and the Chief Officers Group. Part of </w:t>
      </w:r>
      <w:proofErr w:type="spellStart"/>
      <w:r w:rsidRPr="00592C4C">
        <w:rPr>
          <w:rFonts w:asciiTheme="minorHAnsi" w:hAnsiTheme="minorHAnsi" w:cstheme="minorHAnsi"/>
          <w:sz w:val="22"/>
          <w:szCs w:val="22"/>
        </w:rPr>
        <w:t>VASLan’s</w:t>
      </w:r>
      <w:proofErr w:type="spellEnd"/>
      <w:r w:rsidRPr="00592C4C">
        <w:rPr>
          <w:rFonts w:asciiTheme="minorHAnsi" w:hAnsiTheme="minorHAnsi" w:cstheme="minorHAnsi"/>
          <w:sz w:val="22"/>
          <w:szCs w:val="22"/>
        </w:rPr>
        <w:t xml:space="preserve"> role is to facilitate the range of voices and views from across the third </w:t>
      </w:r>
      <w:proofErr w:type="gramStart"/>
      <w:r w:rsidRPr="00592C4C">
        <w:rPr>
          <w:rFonts w:asciiTheme="minorHAnsi" w:hAnsiTheme="minorHAnsi" w:cstheme="minorHAnsi"/>
          <w:sz w:val="22"/>
          <w:szCs w:val="22"/>
        </w:rPr>
        <w:t>sector, and</w:t>
      </w:r>
      <w:proofErr w:type="gramEnd"/>
      <w:r w:rsidRPr="00592C4C">
        <w:rPr>
          <w:rFonts w:asciiTheme="minorHAnsi" w:hAnsiTheme="minorHAnsi" w:cstheme="minorHAnsi"/>
          <w:sz w:val="22"/>
          <w:szCs w:val="22"/>
        </w:rPr>
        <w:t xml:space="preserve"> ensure this is heard by policy shapers and decision makers. Below is a highlight summary of the points made, and the response from the </w:t>
      </w:r>
      <w:proofErr w:type="gramStart"/>
      <w:r w:rsidRPr="00592C4C">
        <w:rPr>
          <w:rFonts w:asciiTheme="minorHAnsi" w:hAnsiTheme="minorHAnsi" w:cstheme="minorHAnsi"/>
          <w:sz w:val="22"/>
          <w:szCs w:val="22"/>
        </w:rPr>
        <w:t>HSCP;</w:t>
      </w:r>
      <w:proofErr w:type="gramEnd"/>
    </w:p>
    <w:p w14:paraId="473260DB" w14:textId="77777777" w:rsidR="00AA2A08" w:rsidRPr="00592C4C" w:rsidRDefault="00AA2A08"/>
    <w:p w14:paraId="2C68C444" w14:textId="77777777" w:rsidR="00AA2A08" w:rsidRPr="00592C4C" w:rsidRDefault="00AA2A08"/>
    <w:tbl>
      <w:tblPr>
        <w:tblStyle w:val="TableGrid"/>
        <w:tblW w:w="0" w:type="auto"/>
        <w:tblLook w:val="04A0" w:firstRow="1" w:lastRow="0" w:firstColumn="1" w:lastColumn="0" w:noHBand="0" w:noVBand="1"/>
      </w:tblPr>
      <w:tblGrid>
        <w:gridCol w:w="4508"/>
        <w:gridCol w:w="4508"/>
      </w:tblGrid>
      <w:tr w:rsidR="00592C4C" w:rsidRPr="00592C4C" w14:paraId="24346B50" w14:textId="77777777" w:rsidTr="00AA2A08">
        <w:tc>
          <w:tcPr>
            <w:tcW w:w="4508" w:type="dxa"/>
          </w:tcPr>
          <w:p w14:paraId="5610BA0E" w14:textId="77777777" w:rsidR="00AA2A08" w:rsidRPr="00592C4C" w:rsidRDefault="00AA2A08" w:rsidP="00AA2A08">
            <w:pPr>
              <w:jc w:val="center"/>
              <w:rPr>
                <w:rFonts w:asciiTheme="minorHAnsi" w:hAnsiTheme="minorHAnsi" w:cstheme="minorHAnsi"/>
                <w:b/>
                <w:bCs/>
                <w:sz w:val="22"/>
                <w:szCs w:val="22"/>
              </w:rPr>
            </w:pPr>
          </w:p>
          <w:p w14:paraId="5B62B9BB" w14:textId="77777777" w:rsidR="00AA2A08" w:rsidRPr="00592C4C" w:rsidRDefault="00AA2A08" w:rsidP="00AA2A08">
            <w:pPr>
              <w:jc w:val="center"/>
              <w:rPr>
                <w:rFonts w:asciiTheme="minorHAnsi" w:hAnsiTheme="minorHAnsi" w:cstheme="minorHAnsi"/>
                <w:b/>
                <w:bCs/>
                <w:sz w:val="22"/>
                <w:szCs w:val="22"/>
              </w:rPr>
            </w:pPr>
            <w:r w:rsidRPr="00592C4C">
              <w:rPr>
                <w:rFonts w:asciiTheme="minorHAnsi" w:hAnsiTheme="minorHAnsi" w:cstheme="minorHAnsi"/>
                <w:b/>
                <w:bCs/>
                <w:sz w:val="22"/>
                <w:szCs w:val="22"/>
              </w:rPr>
              <w:t>Third Sector Voices</w:t>
            </w:r>
          </w:p>
          <w:p w14:paraId="2CCD5B32" w14:textId="73747746" w:rsidR="00AA2A08" w:rsidRPr="00592C4C" w:rsidRDefault="00AA2A08" w:rsidP="00AA2A08">
            <w:pPr>
              <w:jc w:val="center"/>
              <w:rPr>
                <w:rFonts w:asciiTheme="minorHAnsi" w:hAnsiTheme="minorHAnsi" w:cstheme="minorHAnsi"/>
                <w:b/>
                <w:bCs/>
                <w:sz w:val="22"/>
                <w:szCs w:val="22"/>
              </w:rPr>
            </w:pPr>
          </w:p>
        </w:tc>
        <w:tc>
          <w:tcPr>
            <w:tcW w:w="4508" w:type="dxa"/>
          </w:tcPr>
          <w:p w14:paraId="380CD55F" w14:textId="77777777" w:rsidR="00AA2A08" w:rsidRPr="00592C4C" w:rsidRDefault="00AA2A08" w:rsidP="00AA2A08">
            <w:pPr>
              <w:jc w:val="center"/>
              <w:rPr>
                <w:rFonts w:asciiTheme="minorHAnsi" w:hAnsiTheme="minorHAnsi" w:cstheme="minorHAnsi"/>
                <w:b/>
                <w:bCs/>
                <w:sz w:val="22"/>
                <w:szCs w:val="22"/>
              </w:rPr>
            </w:pPr>
          </w:p>
          <w:p w14:paraId="5D306235" w14:textId="17D92FCB" w:rsidR="00AA2A08" w:rsidRPr="00592C4C" w:rsidRDefault="00592C4C" w:rsidP="00AA2A08">
            <w:pPr>
              <w:jc w:val="center"/>
              <w:rPr>
                <w:rFonts w:asciiTheme="minorHAnsi" w:hAnsiTheme="minorHAnsi" w:cstheme="minorHAnsi"/>
                <w:b/>
                <w:bCs/>
                <w:sz w:val="22"/>
                <w:szCs w:val="22"/>
              </w:rPr>
            </w:pPr>
            <w:r>
              <w:rPr>
                <w:rFonts w:asciiTheme="minorHAnsi" w:hAnsiTheme="minorHAnsi" w:cstheme="minorHAnsi"/>
                <w:b/>
                <w:bCs/>
                <w:sz w:val="22"/>
                <w:szCs w:val="22"/>
              </w:rPr>
              <w:t xml:space="preserve">Summary of </w:t>
            </w:r>
            <w:r w:rsidR="00AA2A08" w:rsidRPr="00592C4C">
              <w:rPr>
                <w:rFonts w:asciiTheme="minorHAnsi" w:hAnsiTheme="minorHAnsi" w:cstheme="minorHAnsi"/>
                <w:b/>
                <w:bCs/>
                <w:sz w:val="22"/>
                <w:szCs w:val="22"/>
              </w:rPr>
              <w:t>HSCP Response</w:t>
            </w:r>
          </w:p>
        </w:tc>
      </w:tr>
      <w:tr w:rsidR="00592C4C" w:rsidRPr="00592C4C" w14:paraId="7EB3F5E5" w14:textId="77777777" w:rsidTr="00AA2A08">
        <w:tc>
          <w:tcPr>
            <w:tcW w:w="4508" w:type="dxa"/>
          </w:tcPr>
          <w:p w14:paraId="4A48BD4D" w14:textId="77777777" w:rsidR="00AA2A08" w:rsidRPr="00592C4C" w:rsidRDefault="00AA2A08" w:rsidP="00AA2A08">
            <w:pPr>
              <w:rPr>
                <w:rFonts w:asciiTheme="minorHAnsi" w:hAnsiTheme="minorHAnsi" w:cstheme="minorHAnsi"/>
                <w:sz w:val="22"/>
                <w:szCs w:val="22"/>
              </w:rPr>
            </w:pPr>
          </w:p>
          <w:p w14:paraId="4698B1F4" w14:textId="020B2AA8" w:rsidR="00AA2A08" w:rsidRPr="00592C4C" w:rsidRDefault="00AA2A08" w:rsidP="00AA2A08">
            <w:pPr>
              <w:rPr>
                <w:rFonts w:asciiTheme="minorHAnsi" w:hAnsiTheme="minorHAnsi" w:cstheme="minorHAnsi"/>
                <w:sz w:val="22"/>
                <w:szCs w:val="22"/>
              </w:rPr>
            </w:pPr>
            <w:r w:rsidRPr="00592C4C">
              <w:rPr>
                <w:rFonts w:asciiTheme="minorHAnsi" w:hAnsiTheme="minorHAnsi" w:cstheme="minorHAnsi"/>
                <w:sz w:val="22"/>
                <w:szCs w:val="22"/>
              </w:rPr>
              <w:t xml:space="preserve">Multi-year agreements, </w:t>
            </w:r>
            <w:proofErr w:type="spellStart"/>
            <w:r w:rsidRPr="00592C4C">
              <w:rPr>
                <w:rFonts w:asciiTheme="minorHAnsi" w:hAnsiTheme="minorHAnsi" w:cstheme="minorHAnsi"/>
                <w:sz w:val="22"/>
                <w:szCs w:val="22"/>
              </w:rPr>
              <w:t>eg</w:t>
            </w:r>
            <w:proofErr w:type="spellEnd"/>
            <w:r w:rsidRPr="00592C4C">
              <w:rPr>
                <w:rFonts w:asciiTheme="minorHAnsi" w:hAnsiTheme="minorHAnsi" w:cstheme="minorHAnsi"/>
                <w:sz w:val="22"/>
                <w:szCs w:val="22"/>
              </w:rPr>
              <w:t xml:space="preserve"> 3 years plus, allows us to be better plan, have a high performing workforce, and better deliver on the outcomes of the fund</w:t>
            </w:r>
            <w:r w:rsidR="00592C4C">
              <w:rPr>
                <w:rFonts w:asciiTheme="minorHAnsi" w:hAnsiTheme="minorHAnsi" w:cstheme="minorHAnsi"/>
                <w:sz w:val="22"/>
                <w:szCs w:val="22"/>
              </w:rPr>
              <w:t>.</w:t>
            </w:r>
          </w:p>
          <w:p w14:paraId="0A05B0A9" w14:textId="77777777" w:rsidR="00AA2A08" w:rsidRPr="00592C4C" w:rsidRDefault="00AA2A08">
            <w:pPr>
              <w:rPr>
                <w:rFonts w:asciiTheme="minorHAnsi" w:hAnsiTheme="minorHAnsi" w:cstheme="minorHAnsi"/>
                <w:sz w:val="22"/>
                <w:szCs w:val="22"/>
              </w:rPr>
            </w:pPr>
          </w:p>
        </w:tc>
        <w:tc>
          <w:tcPr>
            <w:tcW w:w="4508" w:type="dxa"/>
          </w:tcPr>
          <w:p w14:paraId="52FC866A" w14:textId="77777777" w:rsidR="00AA2A08" w:rsidRDefault="00AA2A08">
            <w:pPr>
              <w:rPr>
                <w:rFonts w:asciiTheme="minorHAnsi" w:hAnsiTheme="minorHAnsi" w:cstheme="minorHAnsi"/>
                <w:sz w:val="22"/>
                <w:szCs w:val="22"/>
              </w:rPr>
            </w:pPr>
          </w:p>
          <w:p w14:paraId="42FF573D" w14:textId="56EB8E66" w:rsidR="00592C4C" w:rsidRPr="00592C4C" w:rsidRDefault="00592C4C" w:rsidP="00592C4C">
            <w:pPr>
              <w:rPr>
                <w:rFonts w:asciiTheme="minorHAnsi" w:hAnsiTheme="minorHAnsi" w:cstheme="minorHAnsi"/>
                <w:sz w:val="22"/>
                <w:szCs w:val="22"/>
              </w:rPr>
            </w:pPr>
            <w:r w:rsidRPr="00592C4C">
              <w:rPr>
                <w:rFonts w:asciiTheme="minorHAnsi" w:hAnsiTheme="minorHAnsi" w:cstheme="minorHAnsi"/>
                <w:sz w:val="22"/>
                <w:szCs w:val="22"/>
              </w:rPr>
              <w:t xml:space="preserve">Agreed. </w:t>
            </w:r>
            <w:r>
              <w:rPr>
                <w:rFonts w:asciiTheme="minorHAnsi" w:hAnsiTheme="minorHAnsi" w:cstheme="minorHAnsi"/>
                <w:sz w:val="22"/>
                <w:szCs w:val="22"/>
              </w:rPr>
              <w:t xml:space="preserve">After this </w:t>
            </w:r>
            <w:proofErr w:type="gramStart"/>
            <w:r>
              <w:rPr>
                <w:rFonts w:asciiTheme="minorHAnsi" w:hAnsiTheme="minorHAnsi" w:cstheme="minorHAnsi"/>
                <w:sz w:val="22"/>
                <w:szCs w:val="22"/>
              </w:rPr>
              <w:t>2 year</w:t>
            </w:r>
            <w:proofErr w:type="gramEnd"/>
            <w:r>
              <w:rPr>
                <w:rFonts w:asciiTheme="minorHAnsi" w:hAnsiTheme="minorHAnsi" w:cstheme="minorHAnsi"/>
                <w:sz w:val="22"/>
                <w:szCs w:val="22"/>
              </w:rPr>
              <w:t xml:space="preserve"> cycle there will be a further 2 year funding round from </w:t>
            </w:r>
            <w:r w:rsidRPr="00592C4C">
              <w:rPr>
                <w:rFonts w:asciiTheme="minorHAnsi" w:hAnsiTheme="minorHAnsi" w:cstheme="minorHAnsi"/>
                <w:sz w:val="22"/>
                <w:szCs w:val="22"/>
              </w:rPr>
              <w:t>1</w:t>
            </w:r>
            <w:r w:rsidRPr="00592C4C">
              <w:rPr>
                <w:rFonts w:asciiTheme="minorHAnsi" w:hAnsiTheme="minorHAnsi" w:cstheme="minorHAnsi"/>
                <w:sz w:val="22"/>
                <w:szCs w:val="22"/>
                <w:vertAlign w:val="superscript"/>
              </w:rPr>
              <w:t>st</w:t>
            </w:r>
            <w:r w:rsidRPr="00592C4C">
              <w:rPr>
                <w:rFonts w:asciiTheme="minorHAnsi" w:hAnsiTheme="minorHAnsi" w:cstheme="minorHAnsi"/>
                <w:sz w:val="22"/>
                <w:szCs w:val="22"/>
              </w:rPr>
              <w:t xml:space="preserve"> April 2026 to 31</w:t>
            </w:r>
            <w:r w:rsidRPr="00592C4C">
              <w:rPr>
                <w:rFonts w:asciiTheme="minorHAnsi" w:hAnsiTheme="minorHAnsi" w:cstheme="minorHAnsi"/>
                <w:sz w:val="22"/>
                <w:szCs w:val="22"/>
                <w:vertAlign w:val="superscript"/>
              </w:rPr>
              <w:t>st</w:t>
            </w:r>
            <w:r w:rsidRPr="00592C4C">
              <w:rPr>
                <w:rFonts w:asciiTheme="minorHAnsi" w:hAnsiTheme="minorHAnsi" w:cstheme="minorHAnsi"/>
                <w:sz w:val="22"/>
                <w:szCs w:val="22"/>
              </w:rPr>
              <w:t xml:space="preserve"> March 2028</w:t>
            </w:r>
            <w:r>
              <w:rPr>
                <w:rFonts w:asciiTheme="minorHAnsi" w:hAnsiTheme="minorHAnsi" w:cstheme="minorHAnsi"/>
                <w:sz w:val="22"/>
                <w:szCs w:val="22"/>
              </w:rPr>
              <w:t xml:space="preserve">. This will then allow us to align with the new Strategic Commissioning Plan and enter </w:t>
            </w:r>
            <w:proofErr w:type="gramStart"/>
            <w:r>
              <w:rPr>
                <w:rFonts w:asciiTheme="minorHAnsi" w:hAnsiTheme="minorHAnsi" w:cstheme="minorHAnsi"/>
                <w:sz w:val="22"/>
                <w:szCs w:val="22"/>
              </w:rPr>
              <w:t>3 year</w:t>
            </w:r>
            <w:proofErr w:type="gramEnd"/>
            <w:r>
              <w:rPr>
                <w:rFonts w:asciiTheme="minorHAnsi" w:hAnsiTheme="minorHAnsi" w:cstheme="minorHAnsi"/>
                <w:sz w:val="22"/>
                <w:szCs w:val="22"/>
              </w:rPr>
              <w:t xml:space="preserve"> funding cycles.</w:t>
            </w:r>
          </w:p>
          <w:p w14:paraId="1756F9A5" w14:textId="3A01C2DE" w:rsidR="00592C4C" w:rsidRPr="00592C4C" w:rsidRDefault="00592C4C" w:rsidP="00592C4C">
            <w:pPr>
              <w:rPr>
                <w:rFonts w:asciiTheme="minorHAnsi" w:hAnsiTheme="minorHAnsi" w:cstheme="minorHAnsi"/>
                <w:sz w:val="22"/>
                <w:szCs w:val="22"/>
              </w:rPr>
            </w:pPr>
          </w:p>
        </w:tc>
      </w:tr>
      <w:tr w:rsidR="00592C4C" w:rsidRPr="00592C4C" w14:paraId="544C7426" w14:textId="77777777" w:rsidTr="00AA2A08">
        <w:tc>
          <w:tcPr>
            <w:tcW w:w="4508" w:type="dxa"/>
          </w:tcPr>
          <w:p w14:paraId="1F65D969" w14:textId="77777777" w:rsidR="00AA2A08" w:rsidRPr="00592C4C" w:rsidRDefault="00AA2A08" w:rsidP="00AA2A08">
            <w:pPr>
              <w:rPr>
                <w:rFonts w:asciiTheme="minorHAnsi" w:hAnsiTheme="minorHAnsi" w:cstheme="minorHAnsi"/>
                <w:sz w:val="22"/>
                <w:szCs w:val="22"/>
              </w:rPr>
            </w:pPr>
          </w:p>
          <w:p w14:paraId="1CFA66BE" w14:textId="01703372" w:rsidR="00AA2A08" w:rsidRPr="00592C4C" w:rsidRDefault="00AA2A08" w:rsidP="00AA2A08">
            <w:pPr>
              <w:rPr>
                <w:rFonts w:asciiTheme="minorHAnsi" w:hAnsiTheme="minorHAnsi" w:cstheme="minorHAnsi"/>
                <w:sz w:val="22"/>
                <w:szCs w:val="22"/>
              </w:rPr>
            </w:pPr>
            <w:r w:rsidRPr="00592C4C">
              <w:rPr>
                <w:rFonts w:asciiTheme="minorHAnsi" w:hAnsiTheme="minorHAnsi" w:cstheme="minorHAnsi"/>
                <w:sz w:val="22"/>
                <w:szCs w:val="22"/>
              </w:rPr>
              <w:t>Inflationary uplifts would allow us to meet our increase in direct costs and focus on quality project delivery</w:t>
            </w:r>
            <w:r w:rsidR="00592C4C">
              <w:rPr>
                <w:rFonts w:asciiTheme="minorHAnsi" w:hAnsiTheme="minorHAnsi" w:cstheme="minorHAnsi"/>
                <w:sz w:val="22"/>
                <w:szCs w:val="22"/>
              </w:rPr>
              <w:t>.</w:t>
            </w:r>
          </w:p>
          <w:p w14:paraId="58ED52EB" w14:textId="77777777" w:rsidR="00AA2A08" w:rsidRPr="00592C4C" w:rsidRDefault="00AA2A08">
            <w:pPr>
              <w:rPr>
                <w:rFonts w:asciiTheme="minorHAnsi" w:hAnsiTheme="minorHAnsi" w:cstheme="minorHAnsi"/>
                <w:sz w:val="22"/>
                <w:szCs w:val="22"/>
              </w:rPr>
            </w:pPr>
          </w:p>
        </w:tc>
        <w:tc>
          <w:tcPr>
            <w:tcW w:w="4508" w:type="dxa"/>
          </w:tcPr>
          <w:p w14:paraId="6381313B" w14:textId="77777777" w:rsidR="00AA2A08" w:rsidRDefault="00AA2A08">
            <w:pPr>
              <w:rPr>
                <w:rFonts w:asciiTheme="minorHAnsi" w:hAnsiTheme="minorHAnsi" w:cstheme="minorHAnsi"/>
                <w:sz w:val="22"/>
                <w:szCs w:val="22"/>
              </w:rPr>
            </w:pPr>
          </w:p>
          <w:p w14:paraId="10B78018" w14:textId="6AB9E5D1" w:rsidR="00592C4C" w:rsidRDefault="00592C4C">
            <w:pPr>
              <w:rPr>
                <w:rFonts w:asciiTheme="minorHAnsi" w:hAnsiTheme="minorHAnsi" w:cstheme="minorHAnsi"/>
                <w:sz w:val="22"/>
                <w:szCs w:val="22"/>
              </w:rPr>
            </w:pPr>
            <w:r>
              <w:rPr>
                <w:rFonts w:asciiTheme="minorHAnsi" w:hAnsiTheme="minorHAnsi" w:cstheme="minorHAnsi"/>
                <w:sz w:val="22"/>
                <w:szCs w:val="22"/>
              </w:rPr>
              <w:t>Agreed. We accept that with funding remaining static, it is a real terms reduction. Therefore, we acknowledge we will get less services with the same envelope.</w:t>
            </w:r>
          </w:p>
          <w:p w14:paraId="2392DD9C" w14:textId="5B574B8A" w:rsidR="00592C4C" w:rsidRPr="00592C4C" w:rsidRDefault="00592C4C">
            <w:pPr>
              <w:rPr>
                <w:rFonts w:asciiTheme="minorHAnsi" w:hAnsiTheme="minorHAnsi" w:cstheme="minorHAnsi"/>
                <w:sz w:val="22"/>
                <w:szCs w:val="22"/>
              </w:rPr>
            </w:pPr>
          </w:p>
        </w:tc>
      </w:tr>
      <w:tr w:rsidR="00592C4C" w:rsidRPr="00592C4C" w14:paraId="2746EB98" w14:textId="77777777" w:rsidTr="00AA2A08">
        <w:tc>
          <w:tcPr>
            <w:tcW w:w="4508" w:type="dxa"/>
          </w:tcPr>
          <w:p w14:paraId="44493B21" w14:textId="77777777" w:rsidR="00AA2A08" w:rsidRPr="00592C4C" w:rsidRDefault="00AA2A08" w:rsidP="00AA2A08">
            <w:pPr>
              <w:rPr>
                <w:rFonts w:asciiTheme="minorHAnsi" w:hAnsiTheme="minorHAnsi" w:cstheme="minorHAnsi"/>
                <w:sz w:val="22"/>
                <w:szCs w:val="22"/>
              </w:rPr>
            </w:pPr>
          </w:p>
          <w:p w14:paraId="5A1F9D78" w14:textId="3F4E9224" w:rsidR="00AA2A08" w:rsidRPr="00592C4C" w:rsidRDefault="00AA2A08" w:rsidP="00AA2A08">
            <w:pPr>
              <w:rPr>
                <w:rFonts w:asciiTheme="minorHAnsi" w:hAnsiTheme="minorHAnsi" w:cstheme="minorHAnsi"/>
                <w:sz w:val="22"/>
                <w:szCs w:val="22"/>
              </w:rPr>
            </w:pPr>
            <w:r w:rsidRPr="00592C4C">
              <w:rPr>
                <w:rFonts w:asciiTheme="minorHAnsi" w:hAnsiTheme="minorHAnsi" w:cstheme="minorHAnsi"/>
                <w:sz w:val="22"/>
                <w:szCs w:val="22"/>
              </w:rPr>
              <w:t xml:space="preserve">Supply and demand </w:t>
            </w:r>
            <w:proofErr w:type="gramStart"/>
            <w:r w:rsidRPr="00592C4C">
              <w:rPr>
                <w:rFonts w:asciiTheme="minorHAnsi" w:hAnsiTheme="minorHAnsi" w:cstheme="minorHAnsi"/>
                <w:sz w:val="22"/>
                <w:szCs w:val="22"/>
              </w:rPr>
              <w:t>isn’t</w:t>
            </w:r>
            <w:proofErr w:type="gramEnd"/>
            <w:r w:rsidRPr="00592C4C">
              <w:rPr>
                <w:rFonts w:asciiTheme="minorHAnsi" w:hAnsiTheme="minorHAnsi" w:cstheme="minorHAnsi"/>
                <w:sz w:val="22"/>
                <w:szCs w:val="22"/>
              </w:rPr>
              <w:t xml:space="preserve"> matching up, we are empathetic to public sector efficiencies having to be found, but this is increasing demand on </w:t>
            </w:r>
            <w:r w:rsidRPr="00592C4C">
              <w:rPr>
                <w:rFonts w:asciiTheme="minorHAnsi" w:hAnsiTheme="minorHAnsi" w:cstheme="minorHAnsi"/>
                <w:sz w:val="22"/>
                <w:szCs w:val="22"/>
              </w:rPr>
              <w:lastRenderedPageBreak/>
              <w:t>third sector services, without any additional (or often reduced) resources</w:t>
            </w:r>
          </w:p>
          <w:p w14:paraId="1410C4C7" w14:textId="77777777" w:rsidR="00AA2A08" w:rsidRPr="00592C4C" w:rsidRDefault="00AA2A08">
            <w:pPr>
              <w:rPr>
                <w:rFonts w:asciiTheme="minorHAnsi" w:hAnsiTheme="minorHAnsi" w:cstheme="minorHAnsi"/>
                <w:sz w:val="22"/>
                <w:szCs w:val="22"/>
              </w:rPr>
            </w:pPr>
          </w:p>
        </w:tc>
        <w:tc>
          <w:tcPr>
            <w:tcW w:w="4508" w:type="dxa"/>
          </w:tcPr>
          <w:p w14:paraId="72D640BC" w14:textId="77777777" w:rsidR="00AA2A08" w:rsidRDefault="00AA2A08">
            <w:pPr>
              <w:rPr>
                <w:rFonts w:asciiTheme="minorHAnsi" w:hAnsiTheme="minorHAnsi" w:cstheme="minorHAnsi"/>
                <w:sz w:val="22"/>
                <w:szCs w:val="22"/>
              </w:rPr>
            </w:pPr>
          </w:p>
          <w:p w14:paraId="0E3E0850" w14:textId="77777777" w:rsidR="00592C4C" w:rsidRDefault="00592C4C">
            <w:pPr>
              <w:rPr>
                <w:rFonts w:asciiTheme="minorHAnsi" w:hAnsiTheme="minorHAnsi" w:cstheme="minorHAnsi"/>
                <w:sz w:val="22"/>
                <w:szCs w:val="22"/>
              </w:rPr>
            </w:pPr>
            <w:r>
              <w:rPr>
                <w:rFonts w:asciiTheme="minorHAnsi" w:hAnsiTheme="minorHAnsi" w:cstheme="minorHAnsi"/>
                <w:sz w:val="22"/>
                <w:szCs w:val="22"/>
              </w:rPr>
              <w:t xml:space="preserve">We acknowledge with the c£33m funding gap we have for 24/25 that more than ever we need to work in partnership with the third sector. The excellent report from current grant </w:t>
            </w:r>
            <w:r>
              <w:rPr>
                <w:rFonts w:asciiTheme="minorHAnsi" w:hAnsiTheme="minorHAnsi" w:cstheme="minorHAnsi"/>
                <w:sz w:val="22"/>
                <w:szCs w:val="22"/>
              </w:rPr>
              <w:lastRenderedPageBreak/>
              <w:t>holders demonstrated the impact of the projects and justified no requirement for efficiencies or savings.</w:t>
            </w:r>
          </w:p>
          <w:p w14:paraId="6259BA24" w14:textId="5F6B5280" w:rsidR="00592C4C" w:rsidRPr="00592C4C" w:rsidRDefault="00592C4C">
            <w:pPr>
              <w:rPr>
                <w:rFonts w:asciiTheme="minorHAnsi" w:hAnsiTheme="minorHAnsi" w:cstheme="minorHAnsi"/>
                <w:sz w:val="22"/>
                <w:szCs w:val="22"/>
              </w:rPr>
            </w:pPr>
          </w:p>
        </w:tc>
      </w:tr>
      <w:tr w:rsidR="00592C4C" w:rsidRPr="00592C4C" w14:paraId="39977060" w14:textId="77777777" w:rsidTr="00AA2A08">
        <w:tc>
          <w:tcPr>
            <w:tcW w:w="4508" w:type="dxa"/>
          </w:tcPr>
          <w:p w14:paraId="0A894B19" w14:textId="77777777" w:rsidR="00AA2A08" w:rsidRPr="00592C4C" w:rsidRDefault="00AA2A08" w:rsidP="00AA2A08">
            <w:pPr>
              <w:rPr>
                <w:rFonts w:asciiTheme="minorHAnsi" w:hAnsiTheme="minorHAnsi" w:cstheme="minorHAnsi"/>
                <w:sz w:val="22"/>
                <w:szCs w:val="22"/>
              </w:rPr>
            </w:pPr>
          </w:p>
          <w:p w14:paraId="49ED3081" w14:textId="71E70F34" w:rsidR="00AA2A08" w:rsidRPr="00592C4C" w:rsidRDefault="00AA2A08" w:rsidP="00AA2A08">
            <w:pPr>
              <w:rPr>
                <w:rFonts w:asciiTheme="minorHAnsi" w:hAnsiTheme="minorHAnsi" w:cstheme="minorHAnsi"/>
                <w:sz w:val="22"/>
                <w:szCs w:val="22"/>
              </w:rPr>
            </w:pPr>
            <w:r w:rsidRPr="00592C4C">
              <w:rPr>
                <w:rFonts w:asciiTheme="minorHAnsi" w:hAnsiTheme="minorHAnsi" w:cstheme="minorHAnsi"/>
                <w:sz w:val="22"/>
                <w:szCs w:val="22"/>
              </w:rPr>
              <w:t xml:space="preserve">A desire from many colleagues to see the fund focus </w:t>
            </w:r>
            <w:proofErr w:type="gramStart"/>
            <w:r w:rsidRPr="00592C4C">
              <w:rPr>
                <w:rFonts w:asciiTheme="minorHAnsi" w:hAnsiTheme="minorHAnsi" w:cstheme="minorHAnsi"/>
                <w:sz w:val="22"/>
                <w:szCs w:val="22"/>
              </w:rPr>
              <w:t>in particular on</w:t>
            </w:r>
            <w:proofErr w:type="gramEnd"/>
            <w:r w:rsidRPr="00592C4C">
              <w:rPr>
                <w:rFonts w:asciiTheme="minorHAnsi" w:hAnsiTheme="minorHAnsi" w:cstheme="minorHAnsi"/>
                <w:sz w:val="22"/>
                <w:szCs w:val="22"/>
              </w:rPr>
              <w:t xml:space="preserve"> the ‘greater emphasis on early intervention, prevention and inequalities’ priority – some very keen to ensure this is open to activity with children and young people</w:t>
            </w:r>
            <w:r w:rsidR="00876AA4">
              <w:rPr>
                <w:rFonts w:asciiTheme="minorHAnsi" w:hAnsiTheme="minorHAnsi" w:cstheme="minorHAnsi"/>
                <w:sz w:val="22"/>
                <w:szCs w:val="22"/>
              </w:rPr>
              <w:t>.</w:t>
            </w:r>
          </w:p>
          <w:p w14:paraId="66C8EB00" w14:textId="77777777" w:rsidR="00AA2A08" w:rsidRPr="00592C4C" w:rsidRDefault="00AA2A08">
            <w:pPr>
              <w:rPr>
                <w:rFonts w:asciiTheme="minorHAnsi" w:hAnsiTheme="minorHAnsi" w:cstheme="minorHAnsi"/>
                <w:sz w:val="22"/>
                <w:szCs w:val="22"/>
              </w:rPr>
            </w:pPr>
          </w:p>
        </w:tc>
        <w:tc>
          <w:tcPr>
            <w:tcW w:w="4508" w:type="dxa"/>
          </w:tcPr>
          <w:p w14:paraId="38DFC2D9" w14:textId="77777777" w:rsidR="00AA2A08" w:rsidRDefault="00AA2A08">
            <w:pPr>
              <w:rPr>
                <w:rFonts w:asciiTheme="minorHAnsi" w:hAnsiTheme="minorHAnsi" w:cstheme="minorHAnsi"/>
                <w:sz w:val="22"/>
                <w:szCs w:val="22"/>
              </w:rPr>
            </w:pPr>
          </w:p>
          <w:p w14:paraId="44EC5576" w14:textId="05431EC1" w:rsidR="00876AA4" w:rsidRPr="00592C4C" w:rsidRDefault="00876AA4">
            <w:pPr>
              <w:rPr>
                <w:rFonts w:asciiTheme="minorHAnsi" w:hAnsiTheme="minorHAnsi" w:cstheme="minorHAnsi"/>
                <w:sz w:val="22"/>
                <w:szCs w:val="22"/>
              </w:rPr>
            </w:pPr>
            <w:r>
              <w:rPr>
                <w:rFonts w:asciiTheme="minorHAnsi" w:hAnsiTheme="minorHAnsi" w:cstheme="minorHAnsi"/>
                <w:sz w:val="22"/>
                <w:szCs w:val="22"/>
              </w:rPr>
              <w:t>We have 4 priorities in line with the Strategic Commissioning Plan, happy for you to apply based on which most appropriate to the people you support. Up to the applicant to identify the client group, whilst avoiding any duplication.</w:t>
            </w:r>
          </w:p>
        </w:tc>
      </w:tr>
      <w:tr w:rsidR="00592C4C" w:rsidRPr="00592C4C" w14:paraId="026E9630" w14:textId="77777777" w:rsidTr="00AA2A08">
        <w:tc>
          <w:tcPr>
            <w:tcW w:w="4508" w:type="dxa"/>
          </w:tcPr>
          <w:p w14:paraId="6F6A4CF0" w14:textId="77777777" w:rsidR="00AA2A08" w:rsidRPr="00592C4C" w:rsidRDefault="00AA2A08" w:rsidP="00AA2A08">
            <w:pPr>
              <w:rPr>
                <w:rFonts w:asciiTheme="minorHAnsi" w:hAnsiTheme="minorHAnsi" w:cstheme="minorHAnsi"/>
                <w:sz w:val="22"/>
                <w:szCs w:val="22"/>
              </w:rPr>
            </w:pPr>
          </w:p>
          <w:p w14:paraId="7912C288" w14:textId="3E4EC863" w:rsidR="00AA2A08" w:rsidRPr="00592C4C" w:rsidRDefault="00AA2A08" w:rsidP="00AA2A08">
            <w:pPr>
              <w:rPr>
                <w:rFonts w:asciiTheme="minorHAnsi" w:hAnsiTheme="minorHAnsi" w:cstheme="minorHAnsi"/>
                <w:sz w:val="22"/>
                <w:szCs w:val="22"/>
              </w:rPr>
            </w:pPr>
            <w:r w:rsidRPr="00592C4C">
              <w:rPr>
                <w:rFonts w:asciiTheme="minorHAnsi" w:hAnsiTheme="minorHAnsi" w:cstheme="minorHAnsi"/>
                <w:sz w:val="22"/>
                <w:szCs w:val="22"/>
              </w:rPr>
              <w:t xml:space="preserve">Other find the priorities overall unclear and would welcome more clarity as to what that may look like in a third sector </w:t>
            </w:r>
            <w:proofErr w:type="gramStart"/>
            <w:r w:rsidRPr="00592C4C">
              <w:rPr>
                <w:rFonts w:asciiTheme="minorHAnsi" w:hAnsiTheme="minorHAnsi" w:cstheme="minorHAnsi"/>
                <w:sz w:val="22"/>
                <w:szCs w:val="22"/>
              </w:rPr>
              <w:t>context</w:t>
            </w:r>
            <w:proofErr w:type="gramEnd"/>
          </w:p>
          <w:p w14:paraId="01BEEAEB" w14:textId="77777777" w:rsidR="00AA2A08" w:rsidRPr="00592C4C" w:rsidRDefault="00AA2A08">
            <w:pPr>
              <w:rPr>
                <w:rFonts w:asciiTheme="minorHAnsi" w:hAnsiTheme="minorHAnsi" w:cstheme="minorHAnsi"/>
                <w:sz w:val="22"/>
                <w:szCs w:val="22"/>
              </w:rPr>
            </w:pPr>
          </w:p>
        </w:tc>
        <w:tc>
          <w:tcPr>
            <w:tcW w:w="4508" w:type="dxa"/>
          </w:tcPr>
          <w:p w14:paraId="386CBB40" w14:textId="77777777" w:rsidR="00AA2A08" w:rsidRDefault="00AA2A08">
            <w:pPr>
              <w:rPr>
                <w:rFonts w:asciiTheme="minorHAnsi" w:hAnsiTheme="minorHAnsi" w:cstheme="minorHAnsi"/>
                <w:sz w:val="22"/>
                <w:szCs w:val="22"/>
              </w:rPr>
            </w:pPr>
          </w:p>
          <w:p w14:paraId="1446FD42" w14:textId="38CB1E43" w:rsidR="00876AA4" w:rsidRPr="00592C4C" w:rsidRDefault="00876AA4">
            <w:pPr>
              <w:rPr>
                <w:rFonts w:asciiTheme="minorHAnsi" w:hAnsiTheme="minorHAnsi" w:cstheme="minorHAnsi"/>
                <w:sz w:val="22"/>
                <w:szCs w:val="22"/>
              </w:rPr>
            </w:pPr>
            <w:r>
              <w:rPr>
                <w:rFonts w:asciiTheme="minorHAnsi" w:hAnsiTheme="minorHAnsi" w:cstheme="minorHAnsi"/>
                <w:sz w:val="22"/>
                <w:szCs w:val="22"/>
              </w:rPr>
              <w:t>We will ask VASLan to give examples to make this clearer, in the fund guidance.</w:t>
            </w:r>
          </w:p>
        </w:tc>
      </w:tr>
      <w:tr w:rsidR="00592C4C" w:rsidRPr="00592C4C" w14:paraId="01304C1C" w14:textId="77777777" w:rsidTr="00AA2A08">
        <w:tc>
          <w:tcPr>
            <w:tcW w:w="4508" w:type="dxa"/>
          </w:tcPr>
          <w:p w14:paraId="4934341B" w14:textId="77777777" w:rsidR="00AA2A08" w:rsidRPr="00592C4C" w:rsidRDefault="00AA2A08" w:rsidP="00AA2A08">
            <w:pPr>
              <w:rPr>
                <w:rFonts w:asciiTheme="minorHAnsi" w:hAnsiTheme="minorHAnsi" w:cstheme="minorHAnsi"/>
                <w:sz w:val="22"/>
                <w:szCs w:val="22"/>
              </w:rPr>
            </w:pPr>
          </w:p>
          <w:p w14:paraId="65F6998B" w14:textId="33186054" w:rsidR="00AA2A08" w:rsidRPr="00592C4C" w:rsidRDefault="00AA2A08" w:rsidP="00AA2A08">
            <w:pPr>
              <w:rPr>
                <w:rFonts w:asciiTheme="minorHAnsi" w:hAnsiTheme="minorHAnsi" w:cstheme="minorHAnsi"/>
                <w:sz w:val="22"/>
                <w:szCs w:val="22"/>
              </w:rPr>
            </w:pPr>
            <w:r w:rsidRPr="00592C4C">
              <w:rPr>
                <w:rFonts w:asciiTheme="minorHAnsi" w:hAnsiTheme="minorHAnsi" w:cstheme="minorHAnsi"/>
                <w:sz w:val="22"/>
                <w:szCs w:val="22"/>
              </w:rPr>
              <w:t xml:space="preserve">Can we forward plan better so we can have longer application process and </w:t>
            </w:r>
            <w:proofErr w:type="gramStart"/>
            <w:r w:rsidRPr="00592C4C">
              <w:rPr>
                <w:rFonts w:asciiTheme="minorHAnsi" w:hAnsiTheme="minorHAnsi" w:cstheme="minorHAnsi"/>
                <w:sz w:val="22"/>
                <w:szCs w:val="22"/>
              </w:rPr>
              <w:t>timelines</w:t>
            </w:r>
            <w:proofErr w:type="gramEnd"/>
          </w:p>
          <w:p w14:paraId="6784654F" w14:textId="77777777" w:rsidR="00AA2A08" w:rsidRPr="00592C4C" w:rsidRDefault="00AA2A08">
            <w:pPr>
              <w:rPr>
                <w:rFonts w:asciiTheme="minorHAnsi" w:hAnsiTheme="minorHAnsi" w:cstheme="minorHAnsi"/>
                <w:sz w:val="22"/>
                <w:szCs w:val="22"/>
              </w:rPr>
            </w:pPr>
          </w:p>
        </w:tc>
        <w:tc>
          <w:tcPr>
            <w:tcW w:w="4508" w:type="dxa"/>
          </w:tcPr>
          <w:p w14:paraId="43E63A86" w14:textId="77777777" w:rsidR="00AA2A08" w:rsidRDefault="00AA2A08">
            <w:pPr>
              <w:rPr>
                <w:rFonts w:asciiTheme="minorHAnsi" w:hAnsiTheme="minorHAnsi" w:cstheme="minorHAnsi"/>
                <w:sz w:val="22"/>
                <w:szCs w:val="22"/>
              </w:rPr>
            </w:pPr>
          </w:p>
          <w:p w14:paraId="5D2F788B" w14:textId="79551DD4" w:rsidR="00876AA4" w:rsidRPr="00592C4C" w:rsidRDefault="00876AA4">
            <w:pPr>
              <w:rPr>
                <w:rFonts w:asciiTheme="minorHAnsi" w:hAnsiTheme="minorHAnsi" w:cstheme="minorHAnsi"/>
                <w:sz w:val="22"/>
                <w:szCs w:val="22"/>
              </w:rPr>
            </w:pPr>
            <w:r>
              <w:rPr>
                <w:rFonts w:asciiTheme="minorHAnsi" w:hAnsiTheme="minorHAnsi" w:cstheme="minorHAnsi"/>
                <w:sz w:val="22"/>
                <w:szCs w:val="22"/>
              </w:rPr>
              <w:t>Yes, see above re alignment with Strategic Commissioning Plan</w:t>
            </w:r>
          </w:p>
        </w:tc>
      </w:tr>
      <w:tr w:rsidR="00592C4C" w:rsidRPr="00592C4C" w14:paraId="11E7F666" w14:textId="77777777" w:rsidTr="00AA2A08">
        <w:tc>
          <w:tcPr>
            <w:tcW w:w="4508" w:type="dxa"/>
          </w:tcPr>
          <w:p w14:paraId="1A696538" w14:textId="77777777" w:rsidR="00AA2A08" w:rsidRPr="00592C4C" w:rsidRDefault="00AA2A08" w:rsidP="00AA2A08">
            <w:pPr>
              <w:rPr>
                <w:rFonts w:asciiTheme="minorHAnsi" w:hAnsiTheme="minorHAnsi" w:cstheme="minorHAnsi"/>
                <w:sz w:val="22"/>
                <w:szCs w:val="22"/>
              </w:rPr>
            </w:pPr>
          </w:p>
          <w:p w14:paraId="446DE28B" w14:textId="2C24CA15" w:rsidR="00AA2A08" w:rsidRPr="00592C4C" w:rsidRDefault="00AA2A08" w:rsidP="00AA2A08">
            <w:pPr>
              <w:rPr>
                <w:rFonts w:asciiTheme="minorHAnsi" w:hAnsiTheme="minorHAnsi" w:cstheme="minorHAnsi"/>
                <w:sz w:val="22"/>
                <w:szCs w:val="22"/>
              </w:rPr>
            </w:pPr>
            <w:r w:rsidRPr="00592C4C">
              <w:rPr>
                <w:rFonts w:asciiTheme="minorHAnsi" w:hAnsiTheme="minorHAnsi" w:cstheme="minorHAnsi"/>
                <w:sz w:val="22"/>
                <w:szCs w:val="22"/>
              </w:rPr>
              <w:t xml:space="preserve">ICF funding should be directed towards activity that is already proven to be making a difference, as opposed to looking at ‘new </w:t>
            </w:r>
            <w:proofErr w:type="gramStart"/>
            <w:r w:rsidRPr="00592C4C">
              <w:rPr>
                <w:rFonts w:asciiTheme="minorHAnsi" w:hAnsiTheme="minorHAnsi" w:cstheme="minorHAnsi"/>
                <w:sz w:val="22"/>
                <w:szCs w:val="22"/>
              </w:rPr>
              <w:t>ideas’</w:t>
            </w:r>
            <w:proofErr w:type="gramEnd"/>
          </w:p>
          <w:p w14:paraId="34E478F5" w14:textId="77777777" w:rsidR="00AA2A08" w:rsidRPr="00592C4C" w:rsidRDefault="00AA2A08">
            <w:pPr>
              <w:rPr>
                <w:rFonts w:asciiTheme="minorHAnsi" w:hAnsiTheme="minorHAnsi" w:cstheme="minorHAnsi"/>
                <w:sz w:val="22"/>
                <w:szCs w:val="22"/>
              </w:rPr>
            </w:pPr>
          </w:p>
        </w:tc>
        <w:tc>
          <w:tcPr>
            <w:tcW w:w="4508" w:type="dxa"/>
          </w:tcPr>
          <w:p w14:paraId="5C4F520A" w14:textId="77777777" w:rsidR="00AA2A08" w:rsidRDefault="00AA2A08">
            <w:pPr>
              <w:rPr>
                <w:rFonts w:asciiTheme="minorHAnsi" w:hAnsiTheme="minorHAnsi" w:cstheme="minorHAnsi"/>
                <w:sz w:val="22"/>
                <w:szCs w:val="22"/>
              </w:rPr>
            </w:pPr>
          </w:p>
          <w:p w14:paraId="029D370C" w14:textId="77777777" w:rsidR="00876AA4" w:rsidRDefault="00876AA4">
            <w:pPr>
              <w:rPr>
                <w:rFonts w:asciiTheme="minorHAnsi" w:hAnsiTheme="minorHAnsi" w:cstheme="minorHAnsi"/>
                <w:sz w:val="22"/>
                <w:szCs w:val="22"/>
              </w:rPr>
            </w:pPr>
            <w:r>
              <w:rPr>
                <w:rFonts w:asciiTheme="minorHAnsi" w:hAnsiTheme="minorHAnsi" w:cstheme="minorHAnsi"/>
                <w:sz w:val="22"/>
                <w:szCs w:val="22"/>
              </w:rPr>
              <w:t>You do not have to come up with a new idea, happy to receive applications from projects with evidence of impact, and from innovative new ideas.</w:t>
            </w:r>
          </w:p>
          <w:p w14:paraId="3C011DFB" w14:textId="3ECEE2DF" w:rsidR="00876AA4" w:rsidRPr="00592C4C" w:rsidRDefault="00876AA4">
            <w:pPr>
              <w:rPr>
                <w:rFonts w:asciiTheme="minorHAnsi" w:hAnsiTheme="minorHAnsi" w:cstheme="minorHAnsi"/>
                <w:sz w:val="22"/>
                <w:szCs w:val="22"/>
              </w:rPr>
            </w:pPr>
          </w:p>
        </w:tc>
      </w:tr>
      <w:tr w:rsidR="00592C4C" w:rsidRPr="00592C4C" w14:paraId="0C00DE9C" w14:textId="77777777" w:rsidTr="00AA2A08">
        <w:tc>
          <w:tcPr>
            <w:tcW w:w="4508" w:type="dxa"/>
          </w:tcPr>
          <w:p w14:paraId="7ED20FAB" w14:textId="77777777" w:rsidR="00AA2A08" w:rsidRPr="00592C4C" w:rsidRDefault="00AA2A08" w:rsidP="00AA2A08">
            <w:pPr>
              <w:rPr>
                <w:rFonts w:asciiTheme="minorHAnsi" w:hAnsiTheme="minorHAnsi" w:cstheme="minorHAnsi"/>
                <w:sz w:val="22"/>
                <w:szCs w:val="22"/>
              </w:rPr>
            </w:pPr>
          </w:p>
          <w:p w14:paraId="79D05A9F" w14:textId="3954A1DB" w:rsidR="00AA2A08" w:rsidRPr="00592C4C" w:rsidRDefault="00AA2A08" w:rsidP="00AA2A08">
            <w:pPr>
              <w:rPr>
                <w:rFonts w:asciiTheme="minorHAnsi" w:hAnsiTheme="minorHAnsi" w:cstheme="minorHAnsi"/>
                <w:sz w:val="22"/>
                <w:szCs w:val="22"/>
              </w:rPr>
            </w:pPr>
            <w:r w:rsidRPr="00592C4C">
              <w:rPr>
                <w:rFonts w:asciiTheme="minorHAnsi" w:hAnsiTheme="minorHAnsi" w:cstheme="minorHAnsi"/>
                <w:sz w:val="22"/>
                <w:szCs w:val="22"/>
              </w:rPr>
              <w:t xml:space="preserve">Mixed views on application limits, some viewing that we should have more successful organisations allowing smaller organisations to get involved, others feeling we should have less successful </w:t>
            </w:r>
            <w:proofErr w:type="gramStart"/>
            <w:r w:rsidRPr="00592C4C">
              <w:rPr>
                <w:rFonts w:asciiTheme="minorHAnsi" w:hAnsiTheme="minorHAnsi" w:cstheme="minorHAnsi"/>
                <w:sz w:val="22"/>
                <w:szCs w:val="22"/>
              </w:rPr>
              <w:t>organisations</w:t>
            </w:r>
            <w:proofErr w:type="gramEnd"/>
            <w:r w:rsidRPr="00592C4C">
              <w:rPr>
                <w:rFonts w:asciiTheme="minorHAnsi" w:hAnsiTheme="minorHAnsi" w:cstheme="minorHAnsi"/>
                <w:sz w:val="22"/>
                <w:szCs w:val="22"/>
              </w:rPr>
              <w:t xml:space="preserve"> so we maximise impact with a bit of scale</w:t>
            </w:r>
          </w:p>
          <w:p w14:paraId="0AE45883" w14:textId="77777777" w:rsidR="00AA2A08" w:rsidRPr="00592C4C" w:rsidRDefault="00AA2A08">
            <w:pPr>
              <w:rPr>
                <w:rFonts w:asciiTheme="minorHAnsi" w:hAnsiTheme="minorHAnsi" w:cstheme="minorHAnsi"/>
                <w:sz w:val="22"/>
                <w:szCs w:val="22"/>
              </w:rPr>
            </w:pPr>
          </w:p>
        </w:tc>
        <w:tc>
          <w:tcPr>
            <w:tcW w:w="4508" w:type="dxa"/>
          </w:tcPr>
          <w:p w14:paraId="3CE0863B" w14:textId="77777777" w:rsidR="00AA2A08" w:rsidRDefault="00AA2A08">
            <w:pPr>
              <w:rPr>
                <w:rFonts w:asciiTheme="minorHAnsi" w:hAnsiTheme="minorHAnsi" w:cstheme="minorHAnsi"/>
                <w:sz w:val="22"/>
                <w:szCs w:val="22"/>
              </w:rPr>
            </w:pPr>
          </w:p>
          <w:p w14:paraId="75244891" w14:textId="17D59A53" w:rsidR="00876AA4" w:rsidRPr="00592C4C" w:rsidRDefault="00876AA4">
            <w:pPr>
              <w:rPr>
                <w:rFonts w:asciiTheme="minorHAnsi" w:hAnsiTheme="minorHAnsi" w:cstheme="minorHAnsi"/>
                <w:sz w:val="22"/>
                <w:szCs w:val="22"/>
              </w:rPr>
            </w:pPr>
            <w:r>
              <w:rPr>
                <w:rFonts w:asciiTheme="minorHAnsi" w:hAnsiTheme="minorHAnsi" w:cstheme="minorHAnsi"/>
                <w:sz w:val="22"/>
                <w:szCs w:val="22"/>
              </w:rPr>
              <w:t xml:space="preserve">As below, we like the principles set out in the Communities Mental Health and Wellbeing Fund </w:t>
            </w:r>
            <w:proofErr w:type="gramStart"/>
            <w:r>
              <w:rPr>
                <w:rFonts w:asciiTheme="minorHAnsi" w:hAnsiTheme="minorHAnsi" w:cstheme="minorHAnsi"/>
                <w:sz w:val="22"/>
                <w:szCs w:val="22"/>
              </w:rPr>
              <w:t>approach, and</w:t>
            </w:r>
            <w:proofErr w:type="gramEnd"/>
            <w:r>
              <w:rPr>
                <w:rFonts w:asciiTheme="minorHAnsi" w:hAnsiTheme="minorHAnsi" w:cstheme="minorHAnsi"/>
                <w:sz w:val="22"/>
                <w:szCs w:val="22"/>
              </w:rPr>
              <w:t xml:space="preserve"> would like to adopt much of this process.</w:t>
            </w:r>
          </w:p>
        </w:tc>
      </w:tr>
      <w:tr w:rsidR="00592C4C" w:rsidRPr="00592C4C" w14:paraId="6F736A37" w14:textId="77777777" w:rsidTr="00AA2A08">
        <w:tc>
          <w:tcPr>
            <w:tcW w:w="4508" w:type="dxa"/>
          </w:tcPr>
          <w:p w14:paraId="44C7D6F8" w14:textId="77777777" w:rsidR="00AA2A08" w:rsidRPr="00592C4C" w:rsidRDefault="00AA2A08" w:rsidP="00AA2A08">
            <w:pPr>
              <w:rPr>
                <w:rFonts w:asciiTheme="minorHAnsi" w:hAnsiTheme="minorHAnsi" w:cstheme="minorHAnsi"/>
                <w:sz w:val="22"/>
                <w:szCs w:val="22"/>
              </w:rPr>
            </w:pPr>
          </w:p>
          <w:p w14:paraId="39F9F5C2" w14:textId="097ABD96" w:rsidR="00AA2A08" w:rsidRPr="00592C4C" w:rsidRDefault="00AA2A08" w:rsidP="00AA2A08">
            <w:pPr>
              <w:rPr>
                <w:rFonts w:asciiTheme="minorHAnsi" w:hAnsiTheme="minorHAnsi" w:cstheme="minorHAnsi"/>
                <w:sz w:val="22"/>
                <w:szCs w:val="22"/>
              </w:rPr>
            </w:pPr>
            <w:r w:rsidRPr="00592C4C">
              <w:rPr>
                <w:rFonts w:asciiTheme="minorHAnsi" w:hAnsiTheme="minorHAnsi" w:cstheme="minorHAnsi"/>
                <w:sz w:val="22"/>
                <w:szCs w:val="22"/>
              </w:rPr>
              <w:t xml:space="preserve">Contribution towards all associated staff and building costs should be eligible, not solely volunteer </w:t>
            </w:r>
            <w:proofErr w:type="gramStart"/>
            <w:r w:rsidRPr="00592C4C">
              <w:rPr>
                <w:rFonts w:asciiTheme="minorHAnsi" w:hAnsiTheme="minorHAnsi" w:cstheme="minorHAnsi"/>
                <w:sz w:val="22"/>
                <w:szCs w:val="22"/>
              </w:rPr>
              <w:t>costs</w:t>
            </w:r>
            <w:proofErr w:type="gramEnd"/>
          </w:p>
          <w:p w14:paraId="1868CAEF" w14:textId="77777777" w:rsidR="00AA2A08" w:rsidRPr="00592C4C" w:rsidRDefault="00AA2A08">
            <w:pPr>
              <w:rPr>
                <w:rFonts w:asciiTheme="minorHAnsi" w:hAnsiTheme="minorHAnsi" w:cstheme="minorHAnsi"/>
                <w:sz w:val="22"/>
                <w:szCs w:val="22"/>
              </w:rPr>
            </w:pPr>
          </w:p>
        </w:tc>
        <w:tc>
          <w:tcPr>
            <w:tcW w:w="4508" w:type="dxa"/>
          </w:tcPr>
          <w:p w14:paraId="7D033D1D" w14:textId="77777777" w:rsidR="00AA2A08" w:rsidRDefault="00AA2A08">
            <w:pPr>
              <w:rPr>
                <w:rFonts w:asciiTheme="minorHAnsi" w:hAnsiTheme="minorHAnsi" w:cstheme="minorHAnsi"/>
                <w:sz w:val="22"/>
                <w:szCs w:val="22"/>
              </w:rPr>
            </w:pPr>
          </w:p>
          <w:p w14:paraId="1B8F45F5" w14:textId="77777777" w:rsidR="00876AA4" w:rsidRDefault="00876AA4">
            <w:pPr>
              <w:rPr>
                <w:rFonts w:asciiTheme="minorHAnsi" w:hAnsiTheme="minorHAnsi" w:cstheme="minorHAnsi"/>
                <w:sz w:val="22"/>
                <w:szCs w:val="22"/>
              </w:rPr>
            </w:pPr>
            <w:r>
              <w:rPr>
                <w:rFonts w:asciiTheme="minorHAnsi" w:hAnsiTheme="minorHAnsi" w:cstheme="minorHAnsi"/>
                <w:sz w:val="22"/>
                <w:szCs w:val="22"/>
              </w:rPr>
              <w:t>Happy to receive proportionate budgets in applications to include contributions to staff and building costs. Keen to see resource directly allow for service delivery.</w:t>
            </w:r>
          </w:p>
          <w:p w14:paraId="073DF883" w14:textId="1D750E92" w:rsidR="00876AA4" w:rsidRPr="00592C4C" w:rsidRDefault="00876AA4">
            <w:pPr>
              <w:rPr>
                <w:rFonts w:asciiTheme="minorHAnsi" w:hAnsiTheme="minorHAnsi" w:cstheme="minorHAnsi"/>
                <w:sz w:val="22"/>
                <w:szCs w:val="22"/>
              </w:rPr>
            </w:pPr>
          </w:p>
        </w:tc>
      </w:tr>
      <w:tr w:rsidR="00592C4C" w:rsidRPr="00592C4C" w14:paraId="6452BD3A" w14:textId="77777777" w:rsidTr="00AA2A08">
        <w:tc>
          <w:tcPr>
            <w:tcW w:w="4508" w:type="dxa"/>
          </w:tcPr>
          <w:p w14:paraId="0E0C3C5A" w14:textId="77777777" w:rsidR="00AA2A08" w:rsidRPr="00592C4C" w:rsidRDefault="00AA2A08">
            <w:pPr>
              <w:rPr>
                <w:rFonts w:asciiTheme="minorHAnsi" w:hAnsiTheme="minorHAnsi" w:cstheme="minorHAnsi"/>
                <w:sz w:val="22"/>
                <w:szCs w:val="22"/>
              </w:rPr>
            </w:pPr>
          </w:p>
          <w:p w14:paraId="06740996" w14:textId="77777777" w:rsidR="00AA2A08" w:rsidRPr="00592C4C" w:rsidRDefault="00AA2A08" w:rsidP="00AA2A08">
            <w:pPr>
              <w:rPr>
                <w:rFonts w:asciiTheme="minorHAnsi" w:hAnsiTheme="minorHAnsi" w:cstheme="minorHAnsi"/>
                <w:sz w:val="22"/>
                <w:szCs w:val="22"/>
              </w:rPr>
            </w:pPr>
            <w:r w:rsidRPr="00592C4C">
              <w:rPr>
                <w:rFonts w:asciiTheme="minorHAnsi" w:hAnsiTheme="minorHAnsi" w:cstheme="minorHAnsi"/>
                <w:sz w:val="22"/>
                <w:szCs w:val="22"/>
              </w:rPr>
              <w:t xml:space="preserve">Positive feedback from current holders </w:t>
            </w:r>
            <w:proofErr w:type="spellStart"/>
            <w:r w:rsidRPr="00592C4C">
              <w:rPr>
                <w:rFonts w:asciiTheme="minorHAnsi" w:hAnsiTheme="minorHAnsi" w:cstheme="minorHAnsi"/>
                <w:sz w:val="22"/>
                <w:szCs w:val="22"/>
              </w:rPr>
              <w:t>re evaluation</w:t>
            </w:r>
            <w:proofErr w:type="spellEnd"/>
            <w:r w:rsidRPr="00592C4C">
              <w:rPr>
                <w:rFonts w:asciiTheme="minorHAnsi" w:hAnsiTheme="minorHAnsi" w:cstheme="minorHAnsi"/>
                <w:sz w:val="22"/>
                <w:szCs w:val="22"/>
              </w:rPr>
              <w:t xml:space="preserve">, focus on case studies and speaking to beneficiaries directly, asking for further support from </w:t>
            </w:r>
            <w:proofErr w:type="gramStart"/>
            <w:r w:rsidRPr="00592C4C">
              <w:rPr>
                <w:rFonts w:asciiTheme="minorHAnsi" w:hAnsiTheme="minorHAnsi" w:cstheme="minorHAnsi"/>
                <w:sz w:val="22"/>
                <w:szCs w:val="22"/>
              </w:rPr>
              <w:t>VASLan</w:t>
            </w:r>
            <w:proofErr w:type="gramEnd"/>
          </w:p>
          <w:p w14:paraId="39BEBBC3" w14:textId="77777777" w:rsidR="00AA2A08" w:rsidRPr="00592C4C" w:rsidRDefault="00AA2A08">
            <w:pPr>
              <w:rPr>
                <w:rFonts w:asciiTheme="minorHAnsi" w:hAnsiTheme="minorHAnsi" w:cstheme="minorHAnsi"/>
                <w:sz w:val="22"/>
                <w:szCs w:val="22"/>
              </w:rPr>
            </w:pPr>
          </w:p>
        </w:tc>
        <w:tc>
          <w:tcPr>
            <w:tcW w:w="4508" w:type="dxa"/>
          </w:tcPr>
          <w:p w14:paraId="3895B454" w14:textId="77777777" w:rsidR="00AA2A08" w:rsidRDefault="00AA2A08">
            <w:pPr>
              <w:rPr>
                <w:rFonts w:asciiTheme="minorHAnsi" w:hAnsiTheme="minorHAnsi" w:cstheme="minorHAnsi"/>
                <w:sz w:val="22"/>
                <w:szCs w:val="22"/>
              </w:rPr>
            </w:pPr>
          </w:p>
          <w:p w14:paraId="65360460" w14:textId="2252575A" w:rsidR="00876AA4" w:rsidRPr="00592C4C" w:rsidRDefault="00876AA4">
            <w:pPr>
              <w:rPr>
                <w:rFonts w:asciiTheme="minorHAnsi" w:hAnsiTheme="minorHAnsi" w:cstheme="minorHAnsi"/>
                <w:sz w:val="22"/>
                <w:szCs w:val="22"/>
              </w:rPr>
            </w:pPr>
            <w:r>
              <w:rPr>
                <w:rFonts w:asciiTheme="minorHAnsi" w:hAnsiTheme="minorHAnsi" w:cstheme="minorHAnsi"/>
                <w:sz w:val="22"/>
                <w:szCs w:val="22"/>
              </w:rPr>
              <w:t>We are happy to streamline the evaluation approach, outlined below.</w:t>
            </w:r>
          </w:p>
        </w:tc>
      </w:tr>
      <w:tr w:rsidR="00592C4C" w:rsidRPr="00592C4C" w14:paraId="4776F909" w14:textId="77777777" w:rsidTr="00AA2A08">
        <w:tc>
          <w:tcPr>
            <w:tcW w:w="4508" w:type="dxa"/>
          </w:tcPr>
          <w:p w14:paraId="4A139CC1" w14:textId="77777777" w:rsidR="00AA2A08" w:rsidRPr="00592C4C" w:rsidRDefault="00AA2A08">
            <w:pPr>
              <w:rPr>
                <w:rFonts w:asciiTheme="minorHAnsi" w:hAnsiTheme="minorHAnsi" w:cstheme="minorHAnsi"/>
                <w:sz w:val="22"/>
                <w:szCs w:val="22"/>
              </w:rPr>
            </w:pPr>
          </w:p>
          <w:p w14:paraId="6D7179AB" w14:textId="77777777" w:rsidR="00AA2A08" w:rsidRPr="00592C4C" w:rsidRDefault="00AA2A08" w:rsidP="00AA2A08">
            <w:pPr>
              <w:rPr>
                <w:rFonts w:asciiTheme="minorHAnsi" w:hAnsiTheme="minorHAnsi" w:cstheme="minorHAnsi"/>
                <w:sz w:val="22"/>
                <w:szCs w:val="22"/>
              </w:rPr>
            </w:pPr>
            <w:r w:rsidRPr="00592C4C">
              <w:rPr>
                <w:rFonts w:asciiTheme="minorHAnsi" w:hAnsiTheme="minorHAnsi" w:cstheme="minorHAnsi"/>
                <w:sz w:val="22"/>
                <w:szCs w:val="22"/>
              </w:rPr>
              <w:t xml:space="preserve">It would be beneficial if the partnership panel could provide feedback to unsuccessful </w:t>
            </w:r>
            <w:proofErr w:type="gramStart"/>
            <w:r w:rsidRPr="00592C4C">
              <w:rPr>
                <w:rFonts w:asciiTheme="minorHAnsi" w:hAnsiTheme="minorHAnsi" w:cstheme="minorHAnsi"/>
                <w:sz w:val="22"/>
                <w:szCs w:val="22"/>
              </w:rPr>
              <w:t>applicants</w:t>
            </w:r>
            <w:proofErr w:type="gramEnd"/>
          </w:p>
          <w:p w14:paraId="5532388E" w14:textId="77777777" w:rsidR="00AA2A08" w:rsidRPr="00592C4C" w:rsidRDefault="00AA2A08">
            <w:pPr>
              <w:rPr>
                <w:rFonts w:asciiTheme="minorHAnsi" w:hAnsiTheme="minorHAnsi" w:cstheme="minorHAnsi"/>
                <w:sz w:val="22"/>
                <w:szCs w:val="22"/>
              </w:rPr>
            </w:pPr>
          </w:p>
        </w:tc>
        <w:tc>
          <w:tcPr>
            <w:tcW w:w="4508" w:type="dxa"/>
          </w:tcPr>
          <w:p w14:paraId="7DCBBAD1" w14:textId="77777777" w:rsidR="00AA2A08" w:rsidRDefault="00AA2A08">
            <w:pPr>
              <w:rPr>
                <w:rFonts w:asciiTheme="minorHAnsi" w:hAnsiTheme="minorHAnsi" w:cstheme="minorHAnsi"/>
                <w:sz w:val="22"/>
                <w:szCs w:val="22"/>
              </w:rPr>
            </w:pPr>
          </w:p>
          <w:p w14:paraId="02B07B4D" w14:textId="5086BF45" w:rsidR="00876AA4" w:rsidRPr="00592C4C" w:rsidRDefault="00876AA4">
            <w:pPr>
              <w:rPr>
                <w:rFonts w:asciiTheme="minorHAnsi" w:hAnsiTheme="minorHAnsi" w:cstheme="minorHAnsi"/>
                <w:sz w:val="22"/>
                <w:szCs w:val="22"/>
              </w:rPr>
            </w:pPr>
            <w:r>
              <w:rPr>
                <w:rFonts w:asciiTheme="minorHAnsi" w:hAnsiTheme="minorHAnsi" w:cstheme="minorHAnsi"/>
                <w:sz w:val="22"/>
                <w:szCs w:val="22"/>
              </w:rPr>
              <w:t>The panel will provide feedback to unsuccessful applicants.</w:t>
            </w:r>
          </w:p>
        </w:tc>
      </w:tr>
    </w:tbl>
    <w:p w14:paraId="301EF5BA" w14:textId="77777777" w:rsidR="00AA2A08" w:rsidRPr="00592C4C" w:rsidRDefault="00AA2A08" w:rsidP="00AA2A08">
      <w:pPr>
        <w:pStyle w:val="L1"/>
        <w:rPr>
          <w:rFonts w:asciiTheme="minorHAnsi" w:hAnsiTheme="minorHAnsi" w:cstheme="minorHAnsi"/>
          <w:sz w:val="22"/>
          <w:szCs w:val="22"/>
          <w:u w:val="single"/>
        </w:rPr>
      </w:pPr>
      <w:r w:rsidRPr="00592C4C">
        <w:rPr>
          <w:rFonts w:asciiTheme="minorHAnsi" w:hAnsiTheme="minorHAnsi" w:cstheme="minorHAnsi"/>
          <w:sz w:val="22"/>
          <w:szCs w:val="22"/>
          <w:u w:val="single"/>
        </w:rPr>
        <w:lastRenderedPageBreak/>
        <w:t>ICF Background</w:t>
      </w:r>
    </w:p>
    <w:p w14:paraId="74AE1C29" w14:textId="77777777" w:rsidR="00AA2A08" w:rsidRPr="00592C4C" w:rsidRDefault="00AA2A08" w:rsidP="00AA2A08">
      <w:pPr>
        <w:pStyle w:val="L1"/>
        <w:rPr>
          <w:rFonts w:asciiTheme="minorHAnsi" w:hAnsiTheme="minorHAnsi" w:cstheme="minorHAnsi"/>
          <w:sz w:val="22"/>
          <w:szCs w:val="22"/>
        </w:rPr>
      </w:pPr>
    </w:p>
    <w:p w14:paraId="259DFBFE" w14:textId="77777777" w:rsidR="00592C4C" w:rsidRDefault="00AA2A08" w:rsidP="00AA2A08">
      <w:pPr>
        <w:pStyle w:val="L2"/>
        <w:rPr>
          <w:rFonts w:asciiTheme="minorHAnsi" w:hAnsiTheme="minorHAnsi" w:cstheme="minorHAnsi"/>
          <w:sz w:val="22"/>
          <w:szCs w:val="22"/>
        </w:rPr>
      </w:pPr>
      <w:r w:rsidRPr="00592C4C">
        <w:rPr>
          <w:rFonts w:asciiTheme="minorHAnsi" w:hAnsiTheme="minorHAnsi" w:cstheme="minorHAnsi"/>
          <w:sz w:val="22"/>
          <w:szCs w:val="22"/>
        </w:rPr>
        <w:tab/>
      </w:r>
      <w:r w:rsidR="00592C4C">
        <w:rPr>
          <w:rFonts w:asciiTheme="minorHAnsi" w:hAnsiTheme="minorHAnsi" w:cstheme="minorHAnsi"/>
          <w:sz w:val="22"/>
          <w:szCs w:val="22"/>
        </w:rPr>
        <w:t>The remainder of this paper sets out some of the information supplied to HSCP which led to the next ICF cycle being approved.</w:t>
      </w:r>
    </w:p>
    <w:p w14:paraId="7B016693" w14:textId="77777777" w:rsidR="00592C4C" w:rsidRDefault="00592C4C" w:rsidP="00AA2A08">
      <w:pPr>
        <w:pStyle w:val="L2"/>
        <w:rPr>
          <w:rFonts w:asciiTheme="minorHAnsi" w:hAnsiTheme="minorHAnsi" w:cstheme="minorHAnsi"/>
          <w:sz w:val="22"/>
          <w:szCs w:val="22"/>
        </w:rPr>
      </w:pPr>
    </w:p>
    <w:p w14:paraId="2EC5A475" w14:textId="7FC919DF" w:rsidR="00AA2A08" w:rsidRPr="00592C4C" w:rsidRDefault="00592C4C" w:rsidP="00AA2A08">
      <w:pPr>
        <w:pStyle w:val="L2"/>
        <w:rPr>
          <w:rFonts w:asciiTheme="minorHAnsi" w:hAnsiTheme="minorHAnsi" w:cstheme="minorHAnsi"/>
          <w:sz w:val="22"/>
          <w:szCs w:val="22"/>
        </w:rPr>
      </w:pPr>
      <w:r>
        <w:rPr>
          <w:rFonts w:asciiTheme="minorHAnsi" w:hAnsiTheme="minorHAnsi" w:cstheme="minorHAnsi"/>
          <w:sz w:val="22"/>
          <w:szCs w:val="22"/>
        </w:rPr>
        <w:tab/>
      </w:r>
      <w:r w:rsidR="00AA2A08" w:rsidRPr="00592C4C">
        <w:rPr>
          <w:rFonts w:asciiTheme="minorHAnsi" w:hAnsiTheme="minorHAnsi" w:cstheme="minorHAnsi"/>
          <w:sz w:val="22"/>
          <w:szCs w:val="22"/>
        </w:rPr>
        <w:t xml:space="preserve">The Third Sector Integrated Care Fund (ICF) was first approved in April 2016.  Following this initial approval, the fund has had three rounds of a full application process and </w:t>
      </w:r>
      <w:proofErr w:type="gramStart"/>
      <w:r w:rsidR="00AA2A08" w:rsidRPr="00592C4C">
        <w:rPr>
          <w:rFonts w:asciiTheme="minorHAnsi" w:hAnsiTheme="minorHAnsi" w:cstheme="minorHAnsi"/>
          <w:sz w:val="22"/>
          <w:szCs w:val="22"/>
        </w:rPr>
        <w:t>a number of</w:t>
      </w:r>
      <w:proofErr w:type="gramEnd"/>
      <w:r w:rsidR="00AA2A08" w:rsidRPr="00592C4C">
        <w:rPr>
          <w:rFonts w:asciiTheme="minorHAnsi" w:hAnsiTheme="minorHAnsi" w:cstheme="minorHAnsi"/>
          <w:sz w:val="22"/>
          <w:szCs w:val="22"/>
        </w:rPr>
        <w:t xml:space="preserve"> project extensions as shown in the table.</w:t>
      </w:r>
    </w:p>
    <w:p w14:paraId="6F42E5B5" w14:textId="77777777" w:rsidR="00AA2A08" w:rsidRPr="00592C4C" w:rsidRDefault="00AA2A08" w:rsidP="00AA2A08">
      <w:pPr>
        <w:pStyle w:val="L2"/>
        <w:ind w:left="0" w:firstLine="0"/>
        <w:rPr>
          <w:rFonts w:asciiTheme="minorHAnsi" w:hAnsiTheme="minorHAnsi" w:cstheme="minorHAnsi"/>
          <w:sz w:val="22"/>
          <w:szCs w:val="22"/>
        </w:rPr>
      </w:pPr>
    </w:p>
    <w:tbl>
      <w:tblPr>
        <w:tblStyle w:val="TableContemporary"/>
        <w:tblW w:w="9048" w:type="dxa"/>
        <w:jc w:val="center"/>
        <w:tblLook w:val="04A0" w:firstRow="1" w:lastRow="0" w:firstColumn="1" w:lastColumn="0" w:noHBand="0" w:noVBand="1"/>
      </w:tblPr>
      <w:tblGrid>
        <w:gridCol w:w="1701"/>
        <w:gridCol w:w="1560"/>
        <w:gridCol w:w="1503"/>
        <w:gridCol w:w="1482"/>
        <w:gridCol w:w="1494"/>
        <w:gridCol w:w="1308"/>
      </w:tblGrid>
      <w:tr w:rsidR="00592C4C" w:rsidRPr="00592C4C" w14:paraId="577C6D10" w14:textId="77777777" w:rsidTr="005313F5">
        <w:trPr>
          <w:cnfStyle w:val="100000000000" w:firstRow="1" w:lastRow="0" w:firstColumn="0" w:lastColumn="0" w:oddVBand="0" w:evenVBand="0" w:oddHBand="0" w:evenHBand="0" w:firstRowFirstColumn="0" w:firstRowLastColumn="0" w:lastRowFirstColumn="0" w:lastRowLastColumn="0"/>
          <w:jc w:val="center"/>
        </w:trPr>
        <w:tc>
          <w:tcPr>
            <w:tcW w:w="1701" w:type="dxa"/>
          </w:tcPr>
          <w:p w14:paraId="74733C59" w14:textId="77777777" w:rsidR="00AA2A08" w:rsidRPr="00592C4C" w:rsidRDefault="00AA2A08" w:rsidP="005313F5">
            <w:pPr>
              <w:rPr>
                <w:rFonts w:asciiTheme="minorHAnsi" w:hAnsiTheme="minorHAnsi" w:cstheme="minorHAnsi"/>
                <w:sz w:val="22"/>
                <w:szCs w:val="22"/>
              </w:rPr>
            </w:pPr>
            <w:r w:rsidRPr="00592C4C">
              <w:rPr>
                <w:rFonts w:asciiTheme="minorHAnsi" w:hAnsiTheme="minorHAnsi" w:cstheme="minorHAnsi"/>
                <w:sz w:val="22"/>
                <w:szCs w:val="22"/>
              </w:rPr>
              <w:t xml:space="preserve">April 16 – March 18 </w:t>
            </w:r>
          </w:p>
        </w:tc>
        <w:tc>
          <w:tcPr>
            <w:tcW w:w="1560" w:type="dxa"/>
          </w:tcPr>
          <w:p w14:paraId="03DF1C3F" w14:textId="77777777" w:rsidR="00AA2A08" w:rsidRPr="00592C4C" w:rsidRDefault="00AA2A08" w:rsidP="005313F5">
            <w:pPr>
              <w:rPr>
                <w:rFonts w:asciiTheme="minorHAnsi" w:hAnsiTheme="minorHAnsi" w:cstheme="minorHAnsi"/>
                <w:sz w:val="22"/>
                <w:szCs w:val="22"/>
              </w:rPr>
            </w:pPr>
            <w:r w:rsidRPr="00592C4C">
              <w:rPr>
                <w:rFonts w:asciiTheme="minorHAnsi" w:hAnsiTheme="minorHAnsi" w:cstheme="minorHAnsi"/>
                <w:sz w:val="22"/>
                <w:szCs w:val="22"/>
              </w:rPr>
              <w:t>March 18 – June 18</w:t>
            </w:r>
          </w:p>
        </w:tc>
        <w:tc>
          <w:tcPr>
            <w:tcW w:w="1503" w:type="dxa"/>
          </w:tcPr>
          <w:p w14:paraId="214B3E62" w14:textId="77777777" w:rsidR="00AA2A08" w:rsidRPr="00592C4C" w:rsidRDefault="00AA2A08" w:rsidP="005313F5">
            <w:pPr>
              <w:rPr>
                <w:rFonts w:asciiTheme="minorHAnsi" w:hAnsiTheme="minorHAnsi" w:cstheme="minorHAnsi"/>
                <w:sz w:val="22"/>
                <w:szCs w:val="22"/>
              </w:rPr>
            </w:pPr>
            <w:r w:rsidRPr="00592C4C">
              <w:rPr>
                <w:rFonts w:asciiTheme="minorHAnsi" w:hAnsiTheme="minorHAnsi" w:cstheme="minorHAnsi"/>
                <w:sz w:val="22"/>
                <w:szCs w:val="22"/>
              </w:rPr>
              <w:t>June 18 – Sept 19</w:t>
            </w:r>
          </w:p>
        </w:tc>
        <w:tc>
          <w:tcPr>
            <w:tcW w:w="1482" w:type="dxa"/>
          </w:tcPr>
          <w:p w14:paraId="5EA4F07E" w14:textId="77777777" w:rsidR="00AA2A08" w:rsidRPr="00592C4C" w:rsidRDefault="00AA2A08" w:rsidP="005313F5">
            <w:pPr>
              <w:rPr>
                <w:rFonts w:asciiTheme="minorHAnsi" w:hAnsiTheme="minorHAnsi" w:cstheme="minorHAnsi"/>
                <w:sz w:val="22"/>
                <w:szCs w:val="22"/>
              </w:rPr>
            </w:pPr>
            <w:r w:rsidRPr="00592C4C">
              <w:rPr>
                <w:rFonts w:asciiTheme="minorHAnsi" w:hAnsiTheme="minorHAnsi" w:cstheme="minorHAnsi"/>
                <w:sz w:val="22"/>
                <w:szCs w:val="22"/>
              </w:rPr>
              <w:t>Sept 19 – March 20</w:t>
            </w:r>
          </w:p>
        </w:tc>
        <w:tc>
          <w:tcPr>
            <w:tcW w:w="1494" w:type="dxa"/>
          </w:tcPr>
          <w:p w14:paraId="78AB0922" w14:textId="77777777" w:rsidR="00AA2A08" w:rsidRPr="00592C4C" w:rsidRDefault="00AA2A08" w:rsidP="005313F5">
            <w:pPr>
              <w:rPr>
                <w:rFonts w:asciiTheme="minorHAnsi" w:hAnsiTheme="minorHAnsi" w:cstheme="minorHAnsi"/>
                <w:sz w:val="22"/>
                <w:szCs w:val="22"/>
              </w:rPr>
            </w:pPr>
            <w:r w:rsidRPr="00592C4C">
              <w:rPr>
                <w:rFonts w:asciiTheme="minorHAnsi" w:hAnsiTheme="minorHAnsi" w:cstheme="minorHAnsi"/>
                <w:sz w:val="22"/>
                <w:szCs w:val="22"/>
              </w:rPr>
              <w:t>April 20 – June 21</w:t>
            </w:r>
          </w:p>
        </w:tc>
        <w:tc>
          <w:tcPr>
            <w:tcW w:w="1308" w:type="dxa"/>
          </w:tcPr>
          <w:p w14:paraId="548A44C0" w14:textId="77777777" w:rsidR="00AA2A08" w:rsidRPr="00592C4C" w:rsidRDefault="00AA2A08" w:rsidP="005313F5">
            <w:pPr>
              <w:rPr>
                <w:rFonts w:asciiTheme="minorHAnsi" w:hAnsiTheme="minorHAnsi" w:cstheme="minorHAnsi"/>
                <w:sz w:val="22"/>
                <w:szCs w:val="22"/>
              </w:rPr>
            </w:pPr>
            <w:r w:rsidRPr="00592C4C">
              <w:rPr>
                <w:rFonts w:asciiTheme="minorHAnsi" w:hAnsiTheme="minorHAnsi" w:cstheme="minorHAnsi"/>
                <w:sz w:val="22"/>
                <w:szCs w:val="22"/>
              </w:rPr>
              <w:t>July 21 – March 24</w:t>
            </w:r>
          </w:p>
        </w:tc>
      </w:tr>
      <w:tr w:rsidR="00592C4C" w:rsidRPr="00592C4C" w14:paraId="10404BBA" w14:textId="77777777" w:rsidTr="005313F5">
        <w:trPr>
          <w:cnfStyle w:val="000000100000" w:firstRow="0" w:lastRow="0" w:firstColumn="0" w:lastColumn="0" w:oddVBand="0" w:evenVBand="0" w:oddHBand="1" w:evenHBand="0" w:firstRowFirstColumn="0" w:firstRowLastColumn="0" w:lastRowFirstColumn="0" w:lastRowLastColumn="0"/>
          <w:jc w:val="center"/>
        </w:trPr>
        <w:tc>
          <w:tcPr>
            <w:tcW w:w="1701" w:type="dxa"/>
          </w:tcPr>
          <w:p w14:paraId="5B70ED8E" w14:textId="77777777" w:rsidR="00AA2A08" w:rsidRPr="00592C4C" w:rsidRDefault="00AA2A08" w:rsidP="005313F5">
            <w:pPr>
              <w:rPr>
                <w:rFonts w:asciiTheme="minorHAnsi" w:hAnsiTheme="minorHAnsi" w:cstheme="minorHAnsi"/>
                <w:sz w:val="22"/>
                <w:szCs w:val="22"/>
              </w:rPr>
            </w:pPr>
            <w:r w:rsidRPr="00592C4C">
              <w:rPr>
                <w:rFonts w:asciiTheme="minorHAnsi" w:hAnsiTheme="minorHAnsi" w:cstheme="minorHAnsi"/>
                <w:sz w:val="22"/>
                <w:szCs w:val="22"/>
              </w:rPr>
              <w:t>Round 1</w:t>
            </w:r>
          </w:p>
        </w:tc>
        <w:tc>
          <w:tcPr>
            <w:tcW w:w="1560" w:type="dxa"/>
          </w:tcPr>
          <w:p w14:paraId="16564C43" w14:textId="77777777" w:rsidR="00AA2A08" w:rsidRPr="00592C4C" w:rsidRDefault="00AA2A08" w:rsidP="005313F5">
            <w:pPr>
              <w:rPr>
                <w:rFonts w:asciiTheme="minorHAnsi" w:hAnsiTheme="minorHAnsi" w:cstheme="minorHAnsi"/>
                <w:sz w:val="22"/>
                <w:szCs w:val="22"/>
              </w:rPr>
            </w:pPr>
            <w:r w:rsidRPr="00592C4C">
              <w:rPr>
                <w:rFonts w:asciiTheme="minorHAnsi" w:hAnsiTheme="minorHAnsi" w:cstheme="minorHAnsi"/>
                <w:sz w:val="22"/>
                <w:szCs w:val="22"/>
              </w:rPr>
              <w:t xml:space="preserve">Extension Period </w:t>
            </w:r>
          </w:p>
        </w:tc>
        <w:tc>
          <w:tcPr>
            <w:tcW w:w="1503" w:type="dxa"/>
          </w:tcPr>
          <w:p w14:paraId="07B85A7E" w14:textId="77777777" w:rsidR="00AA2A08" w:rsidRPr="00592C4C" w:rsidRDefault="00AA2A08" w:rsidP="005313F5">
            <w:pPr>
              <w:rPr>
                <w:rFonts w:asciiTheme="minorHAnsi" w:hAnsiTheme="minorHAnsi" w:cstheme="minorHAnsi"/>
                <w:sz w:val="22"/>
                <w:szCs w:val="22"/>
              </w:rPr>
            </w:pPr>
            <w:r w:rsidRPr="00592C4C">
              <w:rPr>
                <w:rFonts w:asciiTheme="minorHAnsi" w:hAnsiTheme="minorHAnsi" w:cstheme="minorHAnsi"/>
                <w:sz w:val="22"/>
                <w:szCs w:val="22"/>
              </w:rPr>
              <w:t>Round 2</w:t>
            </w:r>
          </w:p>
        </w:tc>
        <w:tc>
          <w:tcPr>
            <w:tcW w:w="1482" w:type="dxa"/>
          </w:tcPr>
          <w:p w14:paraId="4674576F" w14:textId="77777777" w:rsidR="00AA2A08" w:rsidRPr="00592C4C" w:rsidRDefault="00AA2A08" w:rsidP="005313F5">
            <w:pPr>
              <w:rPr>
                <w:rFonts w:asciiTheme="minorHAnsi" w:hAnsiTheme="minorHAnsi" w:cstheme="minorHAnsi"/>
                <w:sz w:val="22"/>
                <w:szCs w:val="22"/>
              </w:rPr>
            </w:pPr>
            <w:r w:rsidRPr="00592C4C">
              <w:rPr>
                <w:rFonts w:asciiTheme="minorHAnsi" w:hAnsiTheme="minorHAnsi" w:cstheme="minorHAnsi"/>
                <w:sz w:val="22"/>
                <w:szCs w:val="22"/>
              </w:rPr>
              <w:t>Extension Period</w:t>
            </w:r>
          </w:p>
        </w:tc>
        <w:tc>
          <w:tcPr>
            <w:tcW w:w="1494" w:type="dxa"/>
          </w:tcPr>
          <w:p w14:paraId="784B17FC" w14:textId="77777777" w:rsidR="00AA2A08" w:rsidRPr="00592C4C" w:rsidRDefault="00AA2A08" w:rsidP="005313F5">
            <w:pPr>
              <w:rPr>
                <w:rFonts w:asciiTheme="minorHAnsi" w:hAnsiTheme="minorHAnsi" w:cstheme="minorHAnsi"/>
                <w:sz w:val="22"/>
                <w:szCs w:val="22"/>
              </w:rPr>
            </w:pPr>
            <w:r w:rsidRPr="00592C4C">
              <w:rPr>
                <w:rFonts w:asciiTheme="minorHAnsi" w:hAnsiTheme="minorHAnsi" w:cstheme="minorHAnsi"/>
                <w:sz w:val="22"/>
                <w:szCs w:val="22"/>
              </w:rPr>
              <w:t>COVID-19 Extension Period</w:t>
            </w:r>
          </w:p>
        </w:tc>
        <w:tc>
          <w:tcPr>
            <w:tcW w:w="1308" w:type="dxa"/>
          </w:tcPr>
          <w:p w14:paraId="73E41681" w14:textId="77777777" w:rsidR="00AA2A08" w:rsidRPr="00592C4C" w:rsidRDefault="00AA2A08" w:rsidP="005313F5">
            <w:pPr>
              <w:rPr>
                <w:rFonts w:asciiTheme="minorHAnsi" w:hAnsiTheme="minorHAnsi" w:cstheme="minorHAnsi"/>
                <w:sz w:val="22"/>
                <w:szCs w:val="22"/>
              </w:rPr>
            </w:pPr>
            <w:r w:rsidRPr="00592C4C">
              <w:rPr>
                <w:rFonts w:asciiTheme="minorHAnsi" w:hAnsiTheme="minorHAnsi" w:cstheme="minorHAnsi"/>
                <w:sz w:val="22"/>
                <w:szCs w:val="22"/>
              </w:rPr>
              <w:t>Round 3 plus Extensions</w:t>
            </w:r>
          </w:p>
        </w:tc>
      </w:tr>
    </w:tbl>
    <w:p w14:paraId="0DA5D19A" w14:textId="77777777" w:rsidR="00AA2A08" w:rsidRPr="00592C4C" w:rsidRDefault="00AA2A08" w:rsidP="00AA2A08">
      <w:pPr>
        <w:pStyle w:val="L2"/>
        <w:rPr>
          <w:rFonts w:asciiTheme="minorHAnsi" w:hAnsiTheme="minorHAnsi" w:cstheme="minorHAnsi"/>
          <w:sz w:val="22"/>
          <w:szCs w:val="22"/>
        </w:rPr>
      </w:pPr>
    </w:p>
    <w:p w14:paraId="2D66A8CF" w14:textId="30D145C4" w:rsidR="00AA2A08" w:rsidRPr="00592C4C" w:rsidRDefault="00AA2A08" w:rsidP="00AA2A08">
      <w:pPr>
        <w:pStyle w:val="L2"/>
        <w:rPr>
          <w:rFonts w:asciiTheme="minorHAnsi" w:hAnsiTheme="minorHAnsi" w:cstheme="minorHAnsi"/>
          <w:sz w:val="22"/>
          <w:szCs w:val="22"/>
        </w:rPr>
      </w:pPr>
      <w:r w:rsidRPr="00592C4C">
        <w:rPr>
          <w:rFonts w:asciiTheme="minorHAnsi" w:hAnsiTheme="minorHAnsi" w:cstheme="minorHAnsi"/>
          <w:sz w:val="22"/>
          <w:szCs w:val="22"/>
        </w:rPr>
        <w:tab/>
        <w:t xml:space="preserve">To date </w:t>
      </w:r>
      <w:proofErr w:type="gramStart"/>
      <w:r w:rsidRPr="00592C4C">
        <w:rPr>
          <w:rFonts w:asciiTheme="minorHAnsi" w:hAnsiTheme="minorHAnsi" w:cstheme="minorHAnsi"/>
          <w:sz w:val="22"/>
          <w:szCs w:val="22"/>
        </w:rPr>
        <w:t>as a result of</w:t>
      </w:r>
      <w:proofErr w:type="gramEnd"/>
      <w:r w:rsidRPr="00592C4C">
        <w:rPr>
          <w:rFonts w:asciiTheme="minorHAnsi" w:hAnsiTheme="minorHAnsi" w:cstheme="minorHAnsi"/>
          <w:sz w:val="22"/>
          <w:szCs w:val="22"/>
        </w:rPr>
        <w:t xml:space="preserve"> various factors, we haven’t been able to align ICF funding rounds with Strategic Commissioning Plan cycles. Various extensions to current projects, </w:t>
      </w:r>
      <w:proofErr w:type="gramStart"/>
      <w:r w:rsidRPr="00592C4C">
        <w:rPr>
          <w:rFonts w:asciiTheme="minorHAnsi" w:hAnsiTheme="minorHAnsi" w:cstheme="minorHAnsi"/>
          <w:sz w:val="22"/>
          <w:szCs w:val="22"/>
        </w:rPr>
        <w:t>as a result of</w:t>
      </w:r>
      <w:proofErr w:type="gramEnd"/>
      <w:r w:rsidRPr="00592C4C">
        <w:rPr>
          <w:rFonts w:asciiTheme="minorHAnsi" w:hAnsiTheme="minorHAnsi" w:cstheme="minorHAnsi"/>
          <w:sz w:val="22"/>
          <w:szCs w:val="22"/>
        </w:rPr>
        <w:t xml:space="preserve"> factor delaying decision making, hasn’t resulted in best use of resources. Third sector organisations have done a fantastic job and delivered excellent results, but the lack of ability to plan due to delayed decision making has impacted our collective ability to maximise the output from the investment.</w:t>
      </w:r>
    </w:p>
    <w:p w14:paraId="5666D8F3" w14:textId="77777777" w:rsidR="00AA2A08" w:rsidRPr="00592C4C" w:rsidRDefault="00AA2A08" w:rsidP="00AA2A08">
      <w:pPr>
        <w:pStyle w:val="L2"/>
        <w:rPr>
          <w:rFonts w:asciiTheme="minorHAnsi" w:hAnsiTheme="minorHAnsi" w:cstheme="minorHAnsi"/>
          <w:sz w:val="22"/>
          <w:szCs w:val="22"/>
        </w:rPr>
      </w:pPr>
    </w:p>
    <w:p w14:paraId="429DD49E" w14:textId="77777777" w:rsidR="00AA2A08" w:rsidRPr="00592C4C" w:rsidRDefault="00AA2A08" w:rsidP="00AA2A08">
      <w:pPr>
        <w:pStyle w:val="L2"/>
        <w:rPr>
          <w:rFonts w:asciiTheme="minorHAnsi" w:hAnsiTheme="minorHAnsi" w:cstheme="minorHAnsi"/>
          <w:sz w:val="22"/>
          <w:szCs w:val="22"/>
        </w:rPr>
      </w:pPr>
    </w:p>
    <w:p w14:paraId="3BF29248" w14:textId="00289772" w:rsidR="00AA2A08" w:rsidRPr="00592C4C" w:rsidRDefault="00AA2A08" w:rsidP="00AA2A08">
      <w:pPr>
        <w:pStyle w:val="L1"/>
        <w:rPr>
          <w:rFonts w:asciiTheme="minorHAnsi" w:hAnsiTheme="minorHAnsi" w:cstheme="minorHAnsi"/>
          <w:sz w:val="22"/>
          <w:szCs w:val="22"/>
          <w:u w:val="single"/>
        </w:rPr>
      </w:pPr>
      <w:r w:rsidRPr="00592C4C">
        <w:rPr>
          <w:rFonts w:asciiTheme="minorHAnsi" w:hAnsiTheme="minorHAnsi" w:cstheme="minorHAnsi"/>
          <w:sz w:val="22"/>
          <w:szCs w:val="22"/>
          <w:u w:val="single"/>
        </w:rPr>
        <w:t>Evaluation of Project Contribution</w:t>
      </w:r>
    </w:p>
    <w:p w14:paraId="1E94AFD3" w14:textId="77777777" w:rsidR="00592C4C" w:rsidRPr="00592C4C" w:rsidRDefault="00592C4C" w:rsidP="00AA2A08">
      <w:pPr>
        <w:pStyle w:val="L1"/>
        <w:rPr>
          <w:rFonts w:asciiTheme="minorHAnsi" w:hAnsiTheme="minorHAnsi" w:cstheme="minorHAnsi"/>
          <w:sz w:val="22"/>
          <w:szCs w:val="22"/>
        </w:rPr>
      </w:pPr>
    </w:p>
    <w:p w14:paraId="63E2A8AC" w14:textId="4DA80509" w:rsidR="00AA2A08" w:rsidRPr="00592C4C" w:rsidRDefault="00592C4C" w:rsidP="00AA2A08">
      <w:pPr>
        <w:pStyle w:val="L2"/>
        <w:rPr>
          <w:rFonts w:asciiTheme="minorHAnsi" w:hAnsiTheme="minorHAnsi" w:cstheme="minorHAnsi"/>
          <w:b/>
          <w:sz w:val="22"/>
          <w:szCs w:val="22"/>
        </w:rPr>
      </w:pPr>
      <w:r w:rsidRPr="00592C4C">
        <w:rPr>
          <w:rFonts w:asciiTheme="minorHAnsi" w:hAnsiTheme="minorHAnsi" w:cstheme="minorHAnsi"/>
          <w:sz w:val="22"/>
          <w:szCs w:val="22"/>
        </w:rPr>
        <w:tab/>
      </w:r>
      <w:r w:rsidR="00AA2A08" w:rsidRPr="00592C4C">
        <w:rPr>
          <w:rFonts w:asciiTheme="minorHAnsi" w:hAnsiTheme="minorHAnsi" w:cstheme="minorHAnsi"/>
          <w:sz w:val="22"/>
          <w:szCs w:val="22"/>
        </w:rPr>
        <w:t xml:space="preserve">Over the period July 2021 to March 2024 (ongoing) funded projects have been monitored, quarterly reporting has focused on evidencing outputs, </w:t>
      </w:r>
      <w:proofErr w:type="gramStart"/>
      <w:r w:rsidR="00AA2A08" w:rsidRPr="00592C4C">
        <w:rPr>
          <w:rFonts w:asciiTheme="minorHAnsi" w:hAnsiTheme="minorHAnsi" w:cstheme="minorHAnsi"/>
          <w:sz w:val="22"/>
          <w:szCs w:val="22"/>
        </w:rPr>
        <w:t>outcome</w:t>
      </w:r>
      <w:proofErr w:type="gramEnd"/>
      <w:r w:rsidR="00AA2A08" w:rsidRPr="00592C4C">
        <w:rPr>
          <w:rFonts w:asciiTheme="minorHAnsi" w:hAnsiTheme="minorHAnsi" w:cstheme="minorHAnsi"/>
          <w:sz w:val="22"/>
          <w:szCs w:val="22"/>
        </w:rPr>
        <w:t xml:space="preserve"> and financial control.</w:t>
      </w:r>
    </w:p>
    <w:p w14:paraId="096DCA7F" w14:textId="77777777" w:rsidR="00AA2A08" w:rsidRPr="00592C4C" w:rsidRDefault="00AA2A08" w:rsidP="00AA2A08">
      <w:pPr>
        <w:pStyle w:val="L1"/>
        <w:rPr>
          <w:rFonts w:asciiTheme="minorHAnsi" w:hAnsiTheme="minorHAnsi" w:cstheme="minorHAnsi"/>
          <w:b w:val="0"/>
          <w:sz w:val="22"/>
          <w:szCs w:val="22"/>
        </w:rPr>
      </w:pPr>
    </w:p>
    <w:p w14:paraId="53FE0EDA" w14:textId="0A718021" w:rsidR="00AA2A08" w:rsidRPr="00592C4C" w:rsidRDefault="00592C4C" w:rsidP="00AA2A08">
      <w:pPr>
        <w:pStyle w:val="L2"/>
        <w:rPr>
          <w:rFonts w:asciiTheme="minorHAnsi" w:hAnsiTheme="minorHAnsi" w:cstheme="minorHAnsi"/>
          <w:b/>
          <w:sz w:val="22"/>
          <w:szCs w:val="22"/>
        </w:rPr>
      </w:pPr>
      <w:r w:rsidRPr="00592C4C">
        <w:rPr>
          <w:rFonts w:asciiTheme="minorHAnsi" w:hAnsiTheme="minorHAnsi" w:cstheme="minorHAnsi"/>
          <w:sz w:val="22"/>
          <w:szCs w:val="22"/>
        </w:rPr>
        <w:tab/>
      </w:r>
      <w:r w:rsidR="00AA2A08" w:rsidRPr="00592C4C">
        <w:rPr>
          <w:rFonts w:asciiTheme="minorHAnsi" w:hAnsiTheme="minorHAnsi" w:cstheme="minorHAnsi"/>
          <w:sz w:val="22"/>
          <w:szCs w:val="22"/>
        </w:rPr>
        <w:t xml:space="preserve">Examples of cases studies, comments and evidence clearly demonstrate where Third Sector organisations in South Lanarkshire can justifiably claim they are significantly achieving some of the National Health and Wellbeing outcomes.  The detail shows that many have mature systems in place to gather robust evidence of their impact, which is realising many benefits for South Lanarkshire residents.  </w:t>
      </w:r>
    </w:p>
    <w:p w14:paraId="548C9B2F" w14:textId="77777777" w:rsidR="00AA2A08" w:rsidRPr="00592C4C" w:rsidRDefault="00AA2A08" w:rsidP="00AA2A08">
      <w:pPr>
        <w:pStyle w:val="L1"/>
        <w:rPr>
          <w:rFonts w:asciiTheme="minorHAnsi" w:hAnsiTheme="minorHAnsi" w:cstheme="minorHAnsi"/>
          <w:b w:val="0"/>
          <w:sz w:val="22"/>
          <w:szCs w:val="22"/>
        </w:rPr>
      </w:pPr>
    </w:p>
    <w:p w14:paraId="312A39AF" w14:textId="00B54FF3" w:rsidR="00AA2A08" w:rsidRPr="00592C4C" w:rsidRDefault="00592C4C" w:rsidP="00AA2A08">
      <w:pPr>
        <w:pStyle w:val="L2"/>
        <w:rPr>
          <w:rFonts w:asciiTheme="minorHAnsi" w:hAnsiTheme="minorHAnsi" w:cstheme="minorHAnsi"/>
          <w:sz w:val="22"/>
          <w:szCs w:val="22"/>
        </w:rPr>
      </w:pPr>
      <w:r w:rsidRPr="00592C4C">
        <w:rPr>
          <w:rFonts w:asciiTheme="minorHAnsi" w:hAnsiTheme="minorHAnsi" w:cstheme="minorHAnsi"/>
          <w:sz w:val="22"/>
          <w:szCs w:val="22"/>
        </w:rPr>
        <w:tab/>
      </w:r>
      <w:r w:rsidR="00AA2A08" w:rsidRPr="00592C4C">
        <w:rPr>
          <w:rFonts w:asciiTheme="minorHAnsi" w:hAnsiTheme="minorHAnsi" w:cstheme="minorHAnsi"/>
          <w:sz w:val="22"/>
          <w:szCs w:val="22"/>
        </w:rPr>
        <w:t xml:space="preserve">Appendix 1 is our ICF Report for July 2021 to June 2023, which includes the following </w:t>
      </w:r>
      <w:proofErr w:type="gramStart"/>
      <w:r w:rsidR="00AA2A08" w:rsidRPr="00592C4C">
        <w:rPr>
          <w:rFonts w:asciiTheme="minorHAnsi" w:hAnsiTheme="minorHAnsi" w:cstheme="minorHAnsi"/>
          <w:sz w:val="22"/>
          <w:szCs w:val="22"/>
        </w:rPr>
        <w:t>highlights;</w:t>
      </w:r>
      <w:proofErr w:type="gramEnd"/>
    </w:p>
    <w:p w14:paraId="22535E66" w14:textId="77777777" w:rsidR="00592C4C" w:rsidRPr="00592C4C" w:rsidRDefault="00592C4C" w:rsidP="00AA2A08">
      <w:pPr>
        <w:pStyle w:val="L2"/>
        <w:rPr>
          <w:rFonts w:asciiTheme="minorHAnsi" w:hAnsiTheme="minorHAnsi" w:cstheme="minorHAnsi"/>
          <w:sz w:val="22"/>
          <w:szCs w:val="22"/>
        </w:rPr>
      </w:pPr>
    </w:p>
    <w:p w14:paraId="3BF3BFB9" w14:textId="77777777" w:rsidR="00AA2A08" w:rsidRPr="00592C4C" w:rsidRDefault="00AA2A08" w:rsidP="00AA2A08">
      <w:pPr>
        <w:pStyle w:val="ListParagraph"/>
        <w:numPr>
          <w:ilvl w:val="0"/>
          <w:numId w:val="2"/>
        </w:numPr>
        <w:rPr>
          <w:rFonts w:asciiTheme="minorHAnsi" w:hAnsiTheme="minorHAnsi" w:cstheme="minorHAnsi"/>
          <w:sz w:val="22"/>
          <w:szCs w:val="22"/>
        </w:rPr>
      </w:pPr>
      <w:r w:rsidRPr="00592C4C">
        <w:rPr>
          <w:rFonts w:asciiTheme="minorHAnsi" w:hAnsiTheme="minorHAnsi" w:cstheme="minorHAnsi"/>
          <w:sz w:val="22"/>
          <w:szCs w:val="22"/>
        </w:rPr>
        <w:t xml:space="preserve">6,865 people supported across 6 priority </w:t>
      </w:r>
      <w:proofErr w:type="gramStart"/>
      <w:r w:rsidRPr="00592C4C">
        <w:rPr>
          <w:rFonts w:asciiTheme="minorHAnsi" w:hAnsiTheme="minorHAnsi" w:cstheme="minorHAnsi"/>
          <w:sz w:val="22"/>
          <w:szCs w:val="22"/>
        </w:rPr>
        <w:t>areas</w:t>
      </w:r>
      <w:proofErr w:type="gramEnd"/>
    </w:p>
    <w:p w14:paraId="110EEB2F" w14:textId="77777777" w:rsidR="00AA2A08" w:rsidRPr="00592C4C" w:rsidRDefault="00AA2A08" w:rsidP="00AA2A08">
      <w:pPr>
        <w:pStyle w:val="ListParagraph"/>
        <w:numPr>
          <w:ilvl w:val="0"/>
          <w:numId w:val="2"/>
        </w:numPr>
        <w:rPr>
          <w:rFonts w:asciiTheme="minorHAnsi" w:hAnsiTheme="minorHAnsi" w:cstheme="minorHAnsi"/>
          <w:sz w:val="22"/>
          <w:szCs w:val="22"/>
        </w:rPr>
      </w:pPr>
      <w:r w:rsidRPr="00592C4C">
        <w:rPr>
          <w:rFonts w:asciiTheme="minorHAnsi" w:hAnsiTheme="minorHAnsi" w:cstheme="minorHAnsi"/>
          <w:sz w:val="22"/>
          <w:szCs w:val="22"/>
        </w:rPr>
        <w:t xml:space="preserve">1,254 people benefitting from group or 1 to 1 befriending support, reporting that they have safely re-engaged in their community, now feel less lonely and isolated, and have made new social </w:t>
      </w:r>
      <w:proofErr w:type="gramStart"/>
      <w:r w:rsidRPr="00592C4C">
        <w:rPr>
          <w:rFonts w:asciiTheme="minorHAnsi" w:hAnsiTheme="minorHAnsi" w:cstheme="minorHAnsi"/>
          <w:sz w:val="22"/>
          <w:szCs w:val="22"/>
        </w:rPr>
        <w:t>connections</w:t>
      </w:r>
      <w:proofErr w:type="gramEnd"/>
    </w:p>
    <w:p w14:paraId="04612ECA" w14:textId="77777777" w:rsidR="00AA2A08" w:rsidRPr="00592C4C" w:rsidRDefault="00AA2A08" w:rsidP="00AA2A08">
      <w:pPr>
        <w:pStyle w:val="ListParagraph"/>
        <w:numPr>
          <w:ilvl w:val="0"/>
          <w:numId w:val="2"/>
        </w:numPr>
        <w:rPr>
          <w:rFonts w:asciiTheme="minorHAnsi" w:hAnsiTheme="minorHAnsi" w:cstheme="minorHAnsi"/>
          <w:sz w:val="22"/>
          <w:szCs w:val="22"/>
        </w:rPr>
      </w:pPr>
      <w:r w:rsidRPr="00592C4C">
        <w:rPr>
          <w:rFonts w:asciiTheme="minorHAnsi" w:hAnsiTheme="minorHAnsi" w:cstheme="minorHAnsi"/>
          <w:sz w:val="22"/>
          <w:szCs w:val="22"/>
        </w:rPr>
        <w:t xml:space="preserve">1,708 people are now able to identify their own wellbeing needs, building confidence, community resilience and </w:t>
      </w:r>
      <w:proofErr w:type="gramStart"/>
      <w:r w:rsidRPr="00592C4C">
        <w:rPr>
          <w:rFonts w:asciiTheme="minorHAnsi" w:hAnsiTheme="minorHAnsi" w:cstheme="minorHAnsi"/>
          <w:sz w:val="22"/>
          <w:szCs w:val="22"/>
        </w:rPr>
        <w:t>independence</w:t>
      </w:r>
      <w:proofErr w:type="gramEnd"/>
    </w:p>
    <w:p w14:paraId="1F4C9E27" w14:textId="77777777" w:rsidR="00AA2A08" w:rsidRPr="00592C4C" w:rsidRDefault="00AA2A08" w:rsidP="00AA2A08">
      <w:pPr>
        <w:pStyle w:val="ListParagraph"/>
        <w:numPr>
          <w:ilvl w:val="0"/>
          <w:numId w:val="2"/>
        </w:numPr>
        <w:rPr>
          <w:rFonts w:asciiTheme="minorHAnsi" w:hAnsiTheme="minorHAnsi" w:cstheme="minorHAnsi"/>
          <w:sz w:val="22"/>
          <w:szCs w:val="22"/>
        </w:rPr>
      </w:pPr>
      <w:r w:rsidRPr="00592C4C">
        <w:rPr>
          <w:rFonts w:asciiTheme="minorHAnsi" w:hAnsiTheme="minorHAnsi" w:cstheme="minorHAnsi"/>
          <w:sz w:val="22"/>
          <w:szCs w:val="22"/>
        </w:rPr>
        <w:t xml:space="preserve">465 people have benefited from non-medical care pathways, with non-clinical </w:t>
      </w:r>
      <w:proofErr w:type="gramStart"/>
      <w:r w:rsidRPr="00592C4C">
        <w:rPr>
          <w:rFonts w:asciiTheme="minorHAnsi" w:hAnsiTheme="minorHAnsi" w:cstheme="minorHAnsi"/>
          <w:sz w:val="22"/>
          <w:szCs w:val="22"/>
        </w:rPr>
        <w:t>community based</w:t>
      </w:r>
      <w:proofErr w:type="gramEnd"/>
      <w:r w:rsidRPr="00592C4C">
        <w:rPr>
          <w:rFonts w:asciiTheme="minorHAnsi" w:hAnsiTheme="minorHAnsi" w:cstheme="minorHAnsi"/>
          <w:sz w:val="22"/>
          <w:szCs w:val="22"/>
        </w:rPr>
        <w:t xml:space="preserve"> supports preventing hospital admission or re-admission</w:t>
      </w:r>
    </w:p>
    <w:p w14:paraId="595BFC6F" w14:textId="77777777" w:rsidR="00AA2A08" w:rsidRPr="00592C4C" w:rsidRDefault="00AA2A08" w:rsidP="00AA2A08">
      <w:pPr>
        <w:pStyle w:val="ListParagraph"/>
        <w:numPr>
          <w:ilvl w:val="0"/>
          <w:numId w:val="2"/>
        </w:numPr>
        <w:rPr>
          <w:rFonts w:asciiTheme="minorHAnsi" w:hAnsiTheme="minorHAnsi" w:cstheme="minorHAnsi"/>
          <w:sz w:val="22"/>
          <w:szCs w:val="22"/>
        </w:rPr>
      </w:pPr>
      <w:r w:rsidRPr="00592C4C">
        <w:rPr>
          <w:rFonts w:asciiTheme="minorHAnsi" w:hAnsiTheme="minorHAnsi" w:cstheme="minorHAnsi"/>
          <w:sz w:val="22"/>
          <w:szCs w:val="22"/>
        </w:rPr>
        <w:t xml:space="preserve">1,525 people provided with local support to tackle poverty, unemployment and financial </w:t>
      </w:r>
      <w:proofErr w:type="gramStart"/>
      <w:r w:rsidRPr="00592C4C">
        <w:rPr>
          <w:rFonts w:asciiTheme="minorHAnsi" w:hAnsiTheme="minorHAnsi" w:cstheme="minorHAnsi"/>
          <w:sz w:val="22"/>
          <w:szCs w:val="22"/>
        </w:rPr>
        <w:t>uncertainty</w:t>
      </w:r>
      <w:proofErr w:type="gramEnd"/>
    </w:p>
    <w:p w14:paraId="38F005FE" w14:textId="77777777" w:rsidR="00AA2A08" w:rsidRPr="00592C4C" w:rsidRDefault="00AA2A08" w:rsidP="00AA2A08">
      <w:pPr>
        <w:pStyle w:val="ListParagraph"/>
        <w:numPr>
          <w:ilvl w:val="0"/>
          <w:numId w:val="2"/>
        </w:numPr>
        <w:rPr>
          <w:rFonts w:asciiTheme="minorHAnsi" w:hAnsiTheme="minorHAnsi" w:cstheme="minorHAnsi"/>
          <w:sz w:val="22"/>
          <w:szCs w:val="22"/>
        </w:rPr>
      </w:pPr>
      <w:r w:rsidRPr="00592C4C">
        <w:rPr>
          <w:rFonts w:asciiTheme="minorHAnsi" w:hAnsiTheme="minorHAnsi" w:cstheme="minorHAnsi"/>
          <w:sz w:val="22"/>
          <w:szCs w:val="22"/>
        </w:rPr>
        <w:t xml:space="preserve">2,180 people have been asked ‘what matters to you’ and have been supported to achieve things that are important for their own mental health and </w:t>
      </w:r>
      <w:proofErr w:type="gramStart"/>
      <w:r w:rsidRPr="00592C4C">
        <w:rPr>
          <w:rFonts w:asciiTheme="minorHAnsi" w:hAnsiTheme="minorHAnsi" w:cstheme="minorHAnsi"/>
          <w:sz w:val="22"/>
          <w:szCs w:val="22"/>
        </w:rPr>
        <w:t>wellbeing</w:t>
      </w:r>
      <w:proofErr w:type="gramEnd"/>
    </w:p>
    <w:p w14:paraId="6B22A8AE" w14:textId="77777777" w:rsidR="00AA2A08" w:rsidRPr="00592C4C" w:rsidRDefault="00AA2A08" w:rsidP="00AA2A08">
      <w:pPr>
        <w:pStyle w:val="ListParagraph"/>
        <w:numPr>
          <w:ilvl w:val="0"/>
          <w:numId w:val="2"/>
        </w:numPr>
        <w:rPr>
          <w:rFonts w:asciiTheme="minorHAnsi" w:hAnsiTheme="minorHAnsi" w:cstheme="minorHAnsi"/>
          <w:sz w:val="22"/>
          <w:szCs w:val="22"/>
        </w:rPr>
      </w:pPr>
      <w:r w:rsidRPr="00592C4C">
        <w:rPr>
          <w:rFonts w:asciiTheme="minorHAnsi" w:hAnsiTheme="minorHAnsi" w:cstheme="minorHAnsi"/>
          <w:sz w:val="22"/>
          <w:szCs w:val="22"/>
        </w:rPr>
        <w:t>A range of impressive case studies</w:t>
      </w:r>
    </w:p>
    <w:p w14:paraId="13BC3AC7" w14:textId="77777777" w:rsidR="00592C4C" w:rsidRPr="00592C4C" w:rsidRDefault="00592C4C" w:rsidP="00AA2A08">
      <w:pPr>
        <w:rPr>
          <w:rFonts w:asciiTheme="minorHAnsi" w:hAnsiTheme="minorHAnsi" w:cstheme="minorHAnsi"/>
          <w:sz w:val="22"/>
          <w:szCs w:val="22"/>
        </w:rPr>
      </w:pPr>
    </w:p>
    <w:p w14:paraId="4C371E8A" w14:textId="02794035" w:rsidR="00AA2A08" w:rsidRPr="00592C4C" w:rsidRDefault="00AA2A08" w:rsidP="00AA2A08">
      <w:pPr>
        <w:ind w:left="720" w:hanging="720"/>
        <w:rPr>
          <w:rFonts w:asciiTheme="minorHAnsi" w:hAnsiTheme="minorHAnsi" w:cstheme="minorHAnsi"/>
          <w:sz w:val="22"/>
          <w:szCs w:val="22"/>
        </w:rPr>
      </w:pPr>
      <w:r w:rsidRPr="00592C4C">
        <w:rPr>
          <w:rFonts w:asciiTheme="minorHAnsi" w:hAnsiTheme="minorHAnsi" w:cstheme="minorHAnsi"/>
          <w:sz w:val="22"/>
          <w:szCs w:val="22"/>
        </w:rPr>
        <w:lastRenderedPageBreak/>
        <w:t>The following benefits have been extracted from quarterly ICF reports and case studies.</w:t>
      </w:r>
    </w:p>
    <w:p w14:paraId="799B7948" w14:textId="77777777" w:rsidR="00AA2A08" w:rsidRPr="00592C4C" w:rsidRDefault="00AA2A08" w:rsidP="00AA2A08">
      <w:pPr>
        <w:rPr>
          <w:rFonts w:asciiTheme="minorHAnsi" w:hAnsiTheme="minorHAnsi" w:cstheme="minorHAnsi"/>
          <w:sz w:val="22"/>
          <w:szCs w:val="22"/>
        </w:rPr>
      </w:pPr>
    </w:p>
    <w:p w14:paraId="5C88C799" w14:textId="644938CA" w:rsidR="00AA2A08" w:rsidRPr="00592C4C" w:rsidRDefault="00AA2A08" w:rsidP="00592C4C">
      <w:pPr>
        <w:ind w:firstLine="720"/>
        <w:rPr>
          <w:rFonts w:asciiTheme="minorHAnsi" w:hAnsiTheme="minorHAnsi" w:cstheme="minorHAnsi"/>
          <w:sz w:val="22"/>
          <w:szCs w:val="22"/>
        </w:rPr>
      </w:pPr>
      <w:r w:rsidRPr="00592C4C">
        <w:rPr>
          <w:rFonts w:asciiTheme="minorHAnsi" w:hAnsiTheme="minorHAnsi" w:cstheme="minorHAnsi"/>
          <w:sz w:val="22"/>
          <w:szCs w:val="22"/>
        </w:rPr>
        <w:t xml:space="preserve">ICF avoids </w:t>
      </w:r>
      <w:proofErr w:type="gramStart"/>
      <w:r w:rsidRPr="00592C4C">
        <w:rPr>
          <w:rFonts w:asciiTheme="minorHAnsi" w:hAnsiTheme="minorHAnsi" w:cstheme="minorHAnsi"/>
          <w:sz w:val="22"/>
          <w:szCs w:val="22"/>
        </w:rPr>
        <w:t>costs</w:t>
      </w:r>
      <w:proofErr w:type="gramEnd"/>
      <w:r w:rsidRPr="00592C4C">
        <w:rPr>
          <w:rFonts w:asciiTheme="minorHAnsi" w:hAnsiTheme="minorHAnsi" w:cstheme="minorHAnsi"/>
          <w:sz w:val="22"/>
          <w:szCs w:val="22"/>
        </w:rPr>
        <w:t xml:space="preserve"> </w:t>
      </w:r>
    </w:p>
    <w:p w14:paraId="065E2FF2" w14:textId="77777777" w:rsidR="00AA2A08" w:rsidRPr="00592C4C" w:rsidRDefault="00AA2A08" w:rsidP="00AA2A08">
      <w:pPr>
        <w:pStyle w:val="ListParagraph"/>
        <w:numPr>
          <w:ilvl w:val="0"/>
          <w:numId w:val="4"/>
        </w:numPr>
        <w:rPr>
          <w:rFonts w:asciiTheme="minorHAnsi" w:hAnsiTheme="minorHAnsi" w:cstheme="minorHAnsi"/>
          <w:sz w:val="22"/>
          <w:szCs w:val="22"/>
          <w:lang w:eastAsia="en-US"/>
        </w:rPr>
      </w:pPr>
      <w:r w:rsidRPr="00592C4C">
        <w:rPr>
          <w:rFonts w:asciiTheme="minorHAnsi" w:hAnsiTheme="minorHAnsi" w:cstheme="minorHAnsi"/>
          <w:sz w:val="22"/>
          <w:szCs w:val="22"/>
          <w:lang w:eastAsia="en-US"/>
        </w:rPr>
        <w:t>10 general medical hospital admissions avoided @£1,508 each (2019/20 cost)</w:t>
      </w:r>
    </w:p>
    <w:p w14:paraId="666217F3" w14:textId="77777777" w:rsidR="00AA2A08" w:rsidRPr="00592C4C" w:rsidRDefault="00AA2A08" w:rsidP="00AA2A08">
      <w:pPr>
        <w:pStyle w:val="ListParagraph"/>
        <w:numPr>
          <w:ilvl w:val="0"/>
          <w:numId w:val="4"/>
        </w:numPr>
        <w:rPr>
          <w:rFonts w:asciiTheme="minorHAnsi" w:hAnsiTheme="minorHAnsi" w:cstheme="minorHAnsi"/>
          <w:sz w:val="22"/>
          <w:szCs w:val="22"/>
          <w:lang w:eastAsia="en-US"/>
        </w:rPr>
      </w:pPr>
      <w:r w:rsidRPr="00592C4C">
        <w:rPr>
          <w:rFonts w:asciiTheme="minorHAnsi" w:hAnsiTheme="minorHAnsi" w:cstheme="minorHAnsi"/>
          <w:sz w:val="22"/>
          <w:szCs w:val="22"/>
          <w:lang w:eastAsia="en-US"/>
        </w:rPr>
        <w:t>50 general psychiatric hospital admissions avoided @£3,180 each per week (2019/20 cost)</w:t>
      </w:r>
    </w:p>
    <w:p w14:paraId="5C3DB897" w14:textId="77777777" w:rsidR="00AA2A08" w:rsidRPr="00592C4C" w:rsidRDefault="00AA2A08" w:rsidP="00AA2A08">
      <w:pPr>
        <w:pStyle w:val="ListParagraph"/>
        <w:numPr>
          <w:ilvl w:val="0"/>
          <w:numId w:val="4"/>
        </w:numPr>
        <w:rPr>
          <w:rFonts w:asciiTheme="minorHAnsi" w:hAnsiTheme="minorHAnsi" w:cstheme="minorHAnsi"/>
          <w:sz w:val="22"/>
          <w:szCs w:val="22"/>
        </w:rPr>
      </w:pPr>
      <w:r w:rsidRPr="00592C4C">
        <w:rPr>
          <w:rFonts w:asciiTheme="minorHAnsi" w:hAnsiTheme="minorHAnsi" w:cstheme="minorHAnsi"/>
          <w:sz w:val="22"/>
          <w:szCs w:val="22"/>
          <w:lang w:eastAsia="en-US"/>
        </w:rPr>
        <w:t>Total cost avoided for 60 people =</w:t>
      </w:r>
      <w:r w:rsidRPr="00592C4C">
        <w:rPr>
          <w:rFonts w:asciiTheme="minorHAnsi" w:hAnsiTheme="minorHAnsi" w:cstheme="minorHAnsi"/>
          <w:sz w:val="22"/>
          <w:szCs w:val="22"/>
        </w:rPr>
        <w:t xml:space="preserve"> </w:t>
      </w:r>
      <w:r w:rsidRPr="00592C4C">
        <w:rPr>
          <w:rFonts w:asciiTheme="minorHAnsi" w:hAnsiTheme="minorHAnsi" w:cstheme="minorHAnsi"/>
          <w:b/>
          <w:sz w:val="22"/>
          <w:szCs w:val="22"/>
          <w:u w:val="single"/>
        </w:rPr>
        <w:t>£174,080</w:t>
      </w:r>
    </w:p>
    <w:p w14:paraId="46DF6799" w14:textId="77777777" w:rsidR="00AA2A08" w:rsidRPr="00592C4C" w:rsidRDefault="00AA2A08" w:rsidP="00AA2A08">
      <w:pPr>
        <w:rPr>
          <w:rFonts w:asciiTheme="minorHAnsi" w:hAnsiTheme="minorHAnsi" w:cstheme="minorHAnsi"/>
          <w:sz w:val="22"/>
          <w:szCs w:val="22"/>
          <w:u w:val="single"/>
        </w:rPr>
      </w:pPr>
    </w:p>
    <w:p w14:paraId="03964442" w14:textId="77777777" w:rsidR="00AA2A08" w:rsidRPr="00592C4C" w:rsidRDefault="00AA2A08" w:rsidP="00AA2A08">
      <w:pPr>
        <w:ind w:left="720"/>
        <w:rPr>
          <w:rFonts w:asciiTheme="minorHAnsi" w:hAnsiTheme="minorHAnsi" w:cstheme="minorHAnsi"/>
          <w:sz w:val="22"/>
          <w:szCs w:val="22"/>
        </w:rPr>
      </w:pPr>
      <w:r w:rsidRPr="00592C4C">
        <w:rPr>
          <w:rFonts w:asciiTheme="minorHAnsi" w:hAnsiTheme="minorHAnsi" w:cstheme="minorHAnsi"/>
          <w:sz w:val="22"/>
          <w:szCs w:val="22"/>
          <w:u w:val="single"/>
        </w:rPr>
        <w:t>Case study</w:t>
      </w:r>
      <w:r w:rsidRPr="00592C4C">
        <w:rPr>
          <w:rFonts w:asciiTheme="minorHAnsi" w:hAnsiTheme="minorHAnsi" w:cstheme="minorHAnsi"/>
          <w:sz w:val="22"/>
          <w:szCs w:val="22"/>
        </w:rPr>
        <w:t xml:space="preserve"> 1 – conversation with one </w:t>
      </w:r>
      <w:proofErr w:type="gramStart"/>
      <w:r w:rsidRPr="00592C4C">
        <w:rPr>
          <w:rFonts w:asciiTheme="minorHAnsi" w:hAnsiTheme="minorHAnsi" w:cstheme="minorHAnsi"/>
          <w:sz w:val="22"/>
          <w:szCs w:val="22"/>
        </w:rPr>
        <w:t>women</w:t>
      </w:r>
      <w:proofErr w:type="gramEnd"/>
      <w:r w:rsidRPr="00592C4C">
        <w:rPr>
          <w:rFonts w:asciiTheme="minorHAnsi" w:hAnsiTheme="minorHAnsi" w:cstheme="minorHAnsi"/>
          <w:sz w:val="22"/>
          <w:szCs w:val="22"/>
        </w:rPr>
        <w:t xml:space="preserve"> facilitated health screening and her cancer was identified at a treatable stage.</w:t>
      </w:r>
    </w:p>
    <w:p w14:paraId="36C54C21" w14:textId="77777777" w:rsidR="00AA2A08" w:rsidRPr="00592C4C" w:rsidRDefault="00AA2A08" w:rsidP="00AA2A08">
      <w:pPr>
        <w:ind w:left="720"/>
        <w:rPr>
          <w:rFonts w:asciiTheme="minorHAnsi" w:hAnsiTheme="minorHAnsi" w:cstheme="minorHAnsi"/>
          <w:sz w:val="22"/>
          <w:szCs w:val="22"/>
        </w:rPr>
      </w:pPr>
      <w:r w:rsidRPr="00592C4C">
        <w:rPr>
          <w:rFonts w:asciiTheme="minorHAnsi" w:hAnsiTheme="minorHAnsi" w:cstheme="minorHAnsi"/>
          <w:sz w:val="22"/>
          <w:szCs w:val="22"/>
          <w:u w:val="single"/>
        </w:rPr>
        <w:t>Case study 2</w:t>
      </w:r>
      <w:r w:rsidRPr="00592C4C">
        <w:rPr>
          <w:rFonts w:asciiTheme="minorHAnsi" w:hAnsiTheme="minorHAnsi" w:cstheme="minorHAnsi"/>
          <w:sz w:val="22"/>
          <w:szCs w:val="22"/>
        </w:rPr>
        <w:t xml:space="preserve"> - suicidal thoughts before interacting with the service, none since began </w:t>
      </w:r>
      <w:proofErr w:type="gramStart"/>
      <w:r w:rsidRPr="00592C4C">
        <w:rPr>
          <w:rFonts w:asciiTheme="minorHAnsi" w:hAnsiTheme="minorHAnsi" w:cstheme="minorHAnsi"/>
          <w:sz w:val="22"/>
          <w:szCs w:val="22"/>
        </w:rPr>
        <w:t>interacting</w:t>
      </w:r>
      <w:proofErr w:type="gramEnd"/>
    </w:p>
    <w:p w14:paraId="4A0651A6" w14:textId="77777777" w:rsidR="00AA2A08" w:rsidRPr="00592C4C" w:rsidRDefault="00AA2A08" w:rsidP="00AA2A08">
      <w:pPr>
        <w:rPr>
          <w:rFonts w:asciiTheme="minorHAnsi" w:hAnsiTheme="minorHAnsi" w:cstheme="minorHAnsi"/>
          <w:sz w:val="22"/>
          <w:szCs w:val="22"/>
        </w:rPr>
      </w:pPr>
    </w:p>
    <w:p w14:paraId="6F7727F7" w14:textId="55AE5374" w:rsidR="00AA2A08" w:rsidRPr="00592C4C" w:rsidRDefault="00AA2A08" w:rsidP="00592C4C">
      <w:pPr>
        <w:ind w:firstLine="360"/>
        <w:rPr>
          <w:rFonts w:asciiTheme="minorHAnsi" w:hAnsiTheme="minorHAnsi" w:cstheme="minorHAnsi"/>
          <w:sz w:val="22"/>
          <w:szCs w:val="22"/>
        </w:rPr>
      </w:pPr>
      <w:r w:rsidRPr="00592C4C">
        <w:rPr>
          <w:rFonts w:asciiTheme="minorHAnsi" w:hAnsiTheme="minorHAnsi" w:cstheme="minorHAnsi"/>
          <w:sz w:val="22"/>
          <w:szCs w:val="22"/>
        </w:rPr>
        <w:t xml:space="preserve"> ICF early intervention to avoid </w:t>
      </w:r>
      <w:proofErr w:type="gramStart"/>
      <w:r w:rsidRPr="00592C4C">
        <w:rPr>
          <w:rFonts w:asciiTheme="minorHAnsi" w:hAnsiTheme="minorHAnsi" w:cstheme="minorHAnsi"/>
          <w:sz w:val="22"/>
          <w:szCs w:val="22"/>
        </w:rPr>
        <w:t>costs</w:t>
      </w:r>
      <w:proofErr w:type="gramEnd"/>
      <w:r w:rsidRPr="00592C4C">
        <w:rPr>
          <w:rFonts w:asciiTheme="minorHAnsi" w:hAnsiTheme="minorHAnsi" w:cstheme="minorHAnsi"/>
          <w:sz w:val="22"/>
          <w:szCs w:val="22"/>
        </w:rPr>
        <w:t xml:space="preserve"> </w:t>
      </w:r>
    </w:p>
    <w:p w14:paraId="494526B1" w14:textId="77777777" w:rsidR="00AA2A08" w:rsidRPr="00592C4C" w:rsidRDefault="00AA2A08" w:rsidP="00AA2A08">
      <w:pPr>
        <w:pStyle w:val="ListParagraph"/>
        <w:numPr>
          <w:ilvl w:val="0"/>
          <w:numId w:val="6"/>
        </w:numPr>
        <w:rPr>
          <w:rFonts w:asciiTheme="minorHAnsi" w:hAnsiTheme="minorHAnsi" w:cstheme="minorHAnsi"/>
          <w:sz w:val="22"/>
          <w:szCs w:val="22"/>
          <w:lang w:eastAsia="en-US"/>
        </w:rPr>
      </w:pPr>
      <w:r w:rsidRPr="00592C4C">
        <w:rPr>
          <w:rFonts w:asciiTheme="minorHAnsi" w:hAnsiTheme="minorHAnsi" w:cstheme="minorHAnsi"/>
          <w:sz w:val="22"/>
          <w:szCs w:val="22"/>
          <w:lang w:eastAsia="en-US"/>
        </w:rPr>
        <w:t>4,134 people’s physical health improved – assume 413 avoided GP appointments @ £34 each =</w:t>
      </w:r>
      <w:r w:rsidRPr="00592C4C">
        <w:rPr>
          <w:rFonts w:asciiTheme="minorHAnsi" w:hAnsiTheme="minorHAnsi" w:cstheme="minorHAnsi"/>
          <w:sz w:val="22"/>
          <w:szCs w:val="22"/>
        </w:rPr>
        <w:t xml:space="preserve"> </w:t>
      </w:r>
      <w:r w:rsidRPr="00592C4C">
        <w:rPr>
          <w:rFonts w:asciiTheme="minorHAnsi" w:hAnsiTheme="minorHAnsi" w:cstheme="minorHAnsi"/>
          <w:b/>
          <w:sz w:val="22"/>
          <w:szCs w:val="22"/>
          <w:u w:val="single"/>
        </w:rPr>
        <w:t>£14,042</w:t>
      </w:r>
    </w:p>
    <w:p w14:paraId="7CEA26CB" w14:textId="77777777" w:rsidR="00AA2A08" w:rsidRPr="00592C4C" w:rsidRDefault="00AA2A08" w:rsidP="00AA2A08">
      <w:pPr>
        <w:pStyle w:val="ListParagraph"/>
        <w:numPr>
          <w:ilvl w:val="0"/>
          <w:numId w:val="6"/>
        </w:numPr>
        <w:rPr>
          <w:rFonts w:asciiTheme="minorHAnsi" w:hAnsiTheme="minorHAnsi" w:cstheme="minorHAnsi"/>
          <w:b/>
          <w:sz w:val="22"/>
          <w:szCs w:val="22"/>
          <w:u w:val="single"/>
        </w:rPr>
      </w:pPr>
      <w:r w:rsidRPr="00592C4C">
        <w:rPr>
          <w:rFonts w:asciiTheme="minorHAnsi" w:hAnsiTheme="minorHAnsi" w:cstheme="minorHAnsi"/>
          <w:sz w:val="22"/>
          <w:szCs w:val="22"/>
          <w:lang w:eastAsia="en-US"/>
        </w:rPr>
        <w:t>5,516 reduced isolation/improved wellbeing – assume 552 avoided GP appointments @£34 each =</w:t>
      </w:r>
      <w:r w:rsidRPr="00592C4C">
        <w:rPr>
          <w:rFonts w:asciiTheme="minorHAnsi" w:hAnsiTheme="minorHAnsi" w:cstheme="minorHAnsi"/>
          <w:sz w:val="22"/>
          <w:szCs w:val="22"/>
        </w:rPr>
        <w:t xml:space="preserve"> </w:t>
      </w:r>
      <w:r w:rsidRPr="00592C4C">
        <w:rPr>
          <w:rFonts w:asciiTheme="minorHAnsi" w:hAnsiTheme="minorHAnsi" w:cstheme="minorHAnsi"/>
          <w:b/>
          <w:sz w:val="22"/>
          <w:szCs w:val="22"/>
          <w:u w:val="single"/>
        </w:rPr>
        <w:t>£18,768</w:t>
      </w:r>
    </w:p>
    <w:p w14:paraId="3DDF396D" w14:textId="77777777" w:rsidR="00AA2A08" w:rsidRPr="00592C4C" w:rsidRDefault="00AA2A08" w:rsidP="00AA2A08">
      <w:pPr>
        <w:pStyle w:val="ListParagraph"/>
        <w:numPr>
          <w:ilvl w:val="0"/>
          <w:numId w:val="6"/>
        </w:numPr>
        <w:rPr>
          <w:rFonts w:asciiTheme="minorHAnsi" w:hAnsiTheme="minorHAnsi" w:cstheme="minorHAnsi"/>
          <w:b/>
          <w:sz w:val="22"/>
          <w:szCs w:val="22"/>
          <w:u w:val="single"/>
        </w:rPr>
      </w:pPr>
      <w:r w:rsidRPr="00592C4C">
        <w:rPr>
          <w:rFonts w:asciiTheme="minorHAnsi" w:hAnsiTheme="minorHAnsi" w:cstheme="minorHAnsi"/>
          <w:sz w:val="22"/>
          <w:szCs w:val="22"/>
          <w:lang w:eastAsia="en-US"/>
        </w:rPr>
        <w:t xml:space="preserve">908 reduced anxiety – assume 91 avoided mental health care contacts @£216 each = </w:t>
      </w:r>
      <w:r w:rsidRPr="00592C4C">
        <w:rPr>
          <w:rFonts w:asciiTheme="minorHAnsi" w:hAnsiTheme="minorHAnsi" w:cstheme="minorHAnsi"/>
          <w:b/>
          <w:sz w:val="22"/>
          <w:szCs w:val="22"/>
          <w:u w:val="single"/>
        </w:rPr>
        <w:t>£19,656</w:t>
      </w:r>
    </w:p>
    <w:p w14:paraId="37AAD1DB" w14:textId="77777777" w:rsidR="00AA2A08" w:rsidRPr="00592C4C" w:rsidRDefault="00AA2A08" w:rsidP="00AA2A08">
      <w:pPr>
        <w:ind w:left="360"/>
        <w:rPr>
          <w:rFonts w:asciiTheme="minorHAnsi" w:hAnsiTheme="minorHAnsi" w:cstheme="minorHAnsi"/>
          <w:sz w:val="22"/>
          <w:szCs w:val="22"/>
        </w:rPr>
      </w:pPr>
      <w:r w:rsidRPr="00592C4C">
        <w:rPr>
          <w:rFonts w:asciiTheme="minorHAnsi" w:hAnsiTheme="minorHAnsi" w:cstheme="minorHAnsi"/>
          <w:sz w:val="22"/>
          <w:szCs w:val="22"/>
          <w:u w:val="single"/>
        </w:rPr>
        <w:t>Case study</w:t>
      </w:r>
      <w:r w:rsidRPr="00592C4C">
        <w:rPr>
          <w:rFonts w:asciiTheme="minorHAnsi" w:hAnsiTheme="minorHAnsi" w:cstheme="minorHAnsi"/>
          <w:sz w:val="22"/>
          <w:szCs w:val="22"/>
        </w:rPr>
        <w:t xml:space="preserve"> – increased mobility from exercise classes, now able to walk home when could not have previously.</w:t>
      </w:r>
    </w:p>
    <w:p w14:paraId="2F418E6F" w14:textId="77777777" w:rsidR="00AA2A08" w:rsidRPr="00592C4C" w:rsidRDefault="00AA2A08" w:rsidP="00AA2A08">
      <w:pPr>
        <w:rPr>
          <w:rFonts w:asciiTheme="minorHAnsi" w:hAnsiTheme="minorHAnsi" w:cstheme="minorHAnsi"/>
          <w:sz w:val="22"/>
          <w:szCs w:val="22"/>
        </w:rPr>
      </w:pPr>
    </w:p>
    <w:p w14:paraId="010203EE" w14:textId="24101C8E" w:rsidR="00AA2A08" w:rsidRPr="00592C4C" w:rsidRDefault="00AA2A08" w:rsidP="00592C4C">
      <w:pPr>
        <w:ind w:firstLine="360"/>
        <w:rPr>
          <w:rFonts w:asciiTheme="minorHAnsi" w:hAnsiTheme="minorHAnsi" w:cstheme="minorHAnsi"/>
          <w:sz w:val="22"/>
          <w:szCs w:val="22"/>
        </w:rPr>
      </w:pPr>
      <w:r w:rsidRPr="00592C4C">
        <w:rPr>
          <w:rFonts w:asciiTheme="minorHAnsi" w:hAnsiTheme="minorHAnsi" w:cstheme="minorHAnsi"/>
          <w:sz w:val="22"/>
          <w:szCs w:val="22"/>
        </w:rPr>
        <w:t xml:space="preserve">ICF maintains daily living for people in </w:t>
      </w:r>
      <w:proofErr w:type="gramStart"/>
      <w:r w:rsidRPr="00592C4C">
        <w:rPr>
          <w:rFonts w:asciiTheme="minorHAnsi" w:hAnsiTheme="minorHAnsi" w:cstheme="minorHAnsi"/>
          <w:sz w:val="22"/>
          <w:szCs w:val="22"/>
        </w:rPr>
        <w:t>need</w:t>
      </w:r>
      <w:proofErr w:type="gramEnd"/>
      <w:r w:rsidRPr="00592C4C">
        <w:rPr>
          <w:rFonts w:asciiTheme="minorHAnsi" w:hAnsiTheme="minorHAnsi" w:cstheme="minorHAnsi"/>
          <w:sz w:val="22"/>
          <w:szCs w:val="22"/>
        </w:rPr>
        <w:t xml:space="preserve"> </w:t>
      </w:r>
    </w:p>
    <w:p w14:paraId="455D7F80" w14:textId="77777777" w:rsidR="00AA2A08" w:rsidRPr="00592C4C" w:rsidRDefault="00AA2A08" w:rsidP="00AA2A08">
      <w:pPr>
        <w:pStyle w:val="ListParagraph"/>
        <w:numPr>
          <w:ilvl w:val="0"/>
          <w:numId w:val="5"/>
        </w:numPr>
        <w:rPr>
          <w:rFonts w:asciiTheme="minorHAnsi" w:hAnsiTheme="minorHAnsi" w:cstheme="minorHAnsi"/>
          <w:sz w:val="22"/>
          <w:szCs w:val="22"/>
        </w:rPr>
      </w:pPr>
      <w:r w:rsidRPr="00592C4C">
        <w:rPr>
          <w:rFonts w:asciiTheme="minorHAnsi" w:hAnsiTheme="minorHAnsi" w:cstheme="minorHAnsi"/>
          <w:sz w:val="22"/>
          <w:szCs w:val="22"/>
          <w:lang w:eastAsia="en-US"/>
        </w:rPr>
        <w:t xml:space="preserve">financial gain = </w:t>
      </w:r>
      <w:r w:rsidRPr="00592C4C">
        <w:rPr>
          <w:rFonts w:asciiTheme="minorHAnsi" w:hAnsiTheme="minorHAnsi" w:cstheme="minorHAnsi"/>
          <w:b/>
          <w:sz w:val="22"/>
          <w:szCs w:val="22"/>
          <w:u w:val="single"/>
        </w:rPr>
        <w:t>£233,423</w:t>
      </w:r>
      <w:r w:rsidRPr="00592C4C">
        <w:rPr>
          <w:rFonts w:asciiTheme="minorHAnsi" w:hAnsiTheme="minorHAnsi" w:cstheme="minorHAnsi"/>
          <w:b/>
          <w:sz w:val="22"/>
          <w:szCs w:val="22"/>
        </w:rPr>
        <w:t xml:space="preserve"> </w:t>
      </w:r>
      <w:r w:rsidRPr="00592C4C">
        <w:rPr>
          <w:rFonts w:asciiTheme="minorHAnsi" w:hAnsiTheme="minorHAnsi" w:cstheme="minorHAnsi"/>
          <w:i/>
          <w:sz w:val="22"/>
          <w:szCs w:val="22"/>
        </w:rPr>
        <w:t>(income generated)</w:t>
      </w:r>
    </w:p>
    <w:p w14:paraId="2EF13AA0" w14:textId="77777777" w:rsidR="00AA2A08" w:rsidRPr="00592C4C" w:rsidRDefault="00AA2A08" w:rsidP="00AA2A08">
      <w:pPr>
        <w:pStyle w:val="ListParagraph"/>
        <w:numPr>
          <w:ilvl w:val="0"/>
          <w:numId w:val="5"/>
        </w:numPr>
        <w:rPr>
          <w:rFonts w:asciiTheme="minorHAnsi" w:hAnsiTheme="minorHAnsi" w:cstheme="minorHAnsi"/>
          <w:sz w:val="22"/>
          <w:szCs w:val="22"/>
        </w:rPr>
      </w:pPr>
      <w:r w:rsidRPr="00592C4C">
        <w:rPr>
          <w:rFonts w:asciiTheme="minorHAnsi" w:hAnsiTheme="minorHAnsi" w:cstheme="minorHAnsi"/>
          <w:sz w:val="22"/>
          <w:szCs w:val="22"/>
          <w:lang w:eastAsia="en-US"/>
        </w:rPr>
        <w:t>food distribution/vouchers – 395 not requiring food bank @ £59 per week =</w:t>
      </w:r>
      <w:r w:rsidRPr="00592C4C">
        <w:rPr>
          <w:rFonts w:asciiTheme="minorHAnsi" w:hAnsiTheme="minorHAnsi" w:cstheme="minorHAnsi"/>
          <w:sz w:val="22"/>
          <w:szCs w:val="22"/>
        </w:rPr>
        <w:t xml:space="preserve"> </w:t>
      </w:r>
      <w:r w:rsidRPr="00592C4C">
        <w:rPr>
          <w:rFonts w:asciiTheme="minorHAnsi" w:hAnsiTheme="minorHAnsi" w:cstheme="minorHAnsi"/>
          <w:b/>
          <w:sz w:val="22"/>
          <w:szCs w:val="22"/>
          <w:u w:val="single"/>
        </w:rPr>
        <w:t>£23,246</w:t>
      </w:r>
    </w:p>
    <w:p w14:paraId="7762EB5B" w14:textId="77777777" w:rsidR="00AA2A08" w:rsidRPr="00592C4C" w:rsidRDefault="00AA2A08" w:rsidP="00AA2A08">
      <w:pPr>
        <w:rPr>
          <w:rFonts w:asciiTheme="minorHAnsi" w:hAnsiTheme="minorHAnsi" w:cstheme="minorHAnsi"/>
          <w:sz w:val="22"/>
          <w:szCs w:val="22"/>
        </w:rPr>
      </w:pPr>
      <w:r w:rsidRPr="00592C4C">
        <w:rPr>
          <w:rFonts w:asciiTheme="minorHAnsi" w:hAnsiTheme="minorHAnsi" w:cstheme="minorHAnsi"/>
          <w:sz w:val="22"/>
          <w:szCs w:val="22"/>
          <w:u w:val="single"/>
        </w:rPr>
        <w:t>Case study</w:t>
      </w:r>
      <w:r w:rsidRPr="00592C4C">
        <w:rPr>
          <w:rFonts w:asciiTheme="minorHAnsi" w:hAnsiTheme="minorHAnsi" w:cstheme="minorHAnsi"/>
          <w:sz w:val="22"/>
          <w:szCs w:val="22"/>
        </w:rPr>
        <w:t xml:space="preserve"> – reduced stress for an existing mental health service user.</w:t>
      </w:r>
    </w:p>
    <w:p w14:paraId="28EBFD18" w14:textId="77777777" w:rsidR="00AA2A08" w:rsidRPr="00592C4C" w:rsidRDefault="00AA2A08" w:rsidP="00AA2A08">
      <w:pPr>
        <w:rPr>
          <w:rFonts w:asciiTheme="minorHAnsi" w:hAnsiTheme="minorHAnsi" w:cstheme="minorHAnsi"/>
          <w:sz w:val="22"/>
          <w:szCs w:val="22"/>
        </w:rPr>
      </w:pPr>
    </w:p>
    <w:p w14:paraId="00593F17" w14:textId="24C6267D" w:rsidR="00AA2A08" w:rsidRPr="00592C4C" w:rsidRDefault="00AA2A08" w:rsidP="00592C4C">
      <w:pPr>
        <w:ind w:firstLine="360"/>
        <w:rPr>
          <w:rFonts w:asciiTheme="minorHAnsi" w:hAnsiTheme="minorHAnsi" w:cstheme="minorHAnsi"/>
          <w:sz w:val="22"/>
          <w:szCs w:val="22"/>
        </w:rPr>
      </w:pPr>
      <w:r w:rsidRPr="00592C4C">
        <w:rPr>
          <w:rFonts w:asciiTheme="minorHAnsi" w:hAnsiTheme="minorHAnsi" w:cstheme="minorHAnsi"/>
          <w:sz w:val="22"/>
          <w:szCs w:val="22"/>
        </w:rPr>
        <w:t>ICF facilitating transitions:</w:t>
      </w:r>
    </w:p>
    <w:p w14:paraId="7AD5FFC3" w14:textId="77777777" w:rsidR="00AA2A08" w:rsidRPr="00592C4C" w:rsidRDefault="00AA2A08" w:rsidP="00AA2A08">
      <w:pPr>
        <w:pStyle w:val="ListParagraph"/>
        <w:numPr>
          <w:ilvl w:val="0"/>
          <w:numId w:val="3"/>
        </w:numPr>
        <w:rPr>
          <w:rFonts w:asciiTheme="minorHAnsi" w:hAnsiTheme="minorHAnsi" w:cstheme="minorHAnsi"/>
          <w:sz w:val="22"/>
          <w:szCs w:val="22"/>
          <w:lang w:eastAsia="en-US"/>
        </w:rPr>
      </w:pPr>
      <w:r w:rsidRPr="00592C4C">
        <w:rPr>
          <w:rFonts w:asciiTheme="minorHAnsi" w:hAnsiTheme="minorHAnsi" w:cstheme="minorHAnsi"/>
          <w:b/>
          <w:sz w:val="22"/>
          <w:szCs w:val="22"/>
        </w:rPr>
        <w:t>18</w:t>
      </w:r>
      <w:r w:rsidRPr="00592C4C">
        <w:rPr>
          <w:rFonts w:asciiTheme="minorHAnsi" w:hAnsiTheme="minorHAnsi" w:cstheme="minorHAnsi"/>
          <w:sz w:val="22"/>
          <w:szCs w:val="22"/>
        </w:rPr>
        <w:t xml:space="preserve"> </w:t>
      </w:r>
      <w:r w:rsidRPr="00592C4C">
        <w:rPr>
          <w:rFonts w:asciiTheme="minorHAnsi" w:hAnsiTheme="minorHAnsi" w:cstheme="minorHAnsi"/>
          <w:sz w:val="22"/>
          <w:szCs w:val="22"/>
          <w:lang w:eastAsia="en-US"/>
        </w:rPr>
        <w:t xml:space="preserve">people moving into education/training/work @£74.35 per week in </w:t>
      </w:r>
      <w:proofErr w:type="gramStart"/>
      <w:r w:rsidRPr="00592C4C">
        <w:rPr>
          <w:rFonts w:asciiTheme="minorHAnsi" w:hAnsiTheme="minorHAnsi" w:cstheme="minorHAnsi"/>
          <w:sz w:val="22"/>
          <w:szCs w:val="22"/>
          <w:lang w:eastAsia="en-US"/>
        </w:rPr>
        <w:t>benefits</w:t>
      </w:r>
      <w:proofErr w:type="gramEnd"/>
    </w:p>
    <w:p w14:paraId="7EC1D4B2" w14:textId="77777777" w:rsidR="00AA2A08" w:rsidRPr="00592C4C" w:rsidRDefault="00AA2A08" w:rsidP="00AA2A08">
      <w:pPr>
        <w:pStyle w:val="ListParagraph"/>
        <w:numPr>
          <w:ilvl w:val="0"/>
          <w:numId w:val="3"/>
        </w:numPr>
        <w:rPr>
          <w:rFonts w:asciiTheme="minorHAnsi" w:hAnsiTheme="minorHAnsi" w:cstheme="minorHAnsi"/>
          <w:sz w:val="22"/>
          <w:szCs w:val="22"/>
        </w:rPr>
      </w:pPr>
      <w:r w:rsidRPr="00592C4C">
        <w:rPr>
          <w:rFonts w:asciiTheme="minorHAnsi" w:hAnsiTheme="minorHAnsi" w:cstheme="minorHAnsi"/>
          <w:sz w:val="22"/>
          <w:szCs w:val="22"/>
          <w:lang w:eastAsia="en-US"/>
        </w:rPr>
        <w:t>Back to school for school refusers</w:t>
      </w:r>
      <w:r w:rsidRPr="00592C4C">
        <w:rPr>
          <w:rFonts w:asciiTheme="minorHAnsi" w:hAnsiTheme="minorHAnsi" w:cstheme="minorHAnsi"/>
          <w:sz w:val="22"/>
          <w:szCs w:val="22"/>
        </w:rPr>
        <w:t xml:space="preserve">, </w:t>
      </w:r>
      <w:r w:rsidRPr="00592C4C">
        <w:rPr>
          <w:rFonts w:asciiTheme="minorHAnsi" w:hAnsiTheme="minorHAnsi" w:cstheme="minorHAnsi"/>
          <w:b/>
          <w:sz w:val="22"/>
          <w:szCs w:val="22"/>
        </w:rPr>
        <w:t xml:space="preserve">2 </w:t>
      </w:r>
      <w:r w:rsidRPr="00592C4C">
        <w:rPr>
          <w:rFonts w:asciiTheme="minorHAnsi" w:hAnsiTheme="minorHAnsi" w:cstheme="minorHAnsi"/>
          <w:sz w:val="22"/>
          <w:szCs w:val="22"/>
          <w:lang w:eastAsia="en-US"/>
        </w:rPr>
        <w:t xml:space="preserve">moving into work </w:t>
      </w:r>
      <w:proofErr w:type="gramStart"/>
      <w:r w:rsidRPr="00592C4C">
        <w:rPr>
          <w:rFonts w:asciiTheme="minorHAnsi" w:hAnsiTheme="minorHAnsi" w:cstheme="minorHAnsi"/>
          <w:sz w:val="22"/>
          <w:szCs w:val="22"/>
          <w:lang w:eastAsia="en-US"/>
        </w:rPr>
        <w:t>instead</w:t>
      </w:r>
      <w:proofErr w:type="gramEnd"/>
    </w:p>
    <w:p w14:paraId="6D09BECD" w14:textId="77777777" w:rsidR="00AA2A08" w:rsidRPr="00592C4C" w:rsidRDefault="00AA2A08" w:rsidP="00AA2A08">
      <w:pPr>
        <w:pStyle w:val="ListParagraph"/>
        <w:numPr>
          <w:ilvl w:val="0"/>
          <w:numId w:val="3"/>
        </w:numPr>
        <w:rPr>
          <w:rFonts w:asciiTheme="minorHAnsi" w:hAnsiTheme="minorHAnsi" w:cstheme="minorHAnsi"/>
          <w:sz w:val="22"/>
          <w:szCs w:val="22"/>
        </w:rPr>
      </w:pPr>
      <w:r w:rsidRPr="00592C4C">
        <w:rPr>
          <w:rFonts w:asciiTheme="minorHAnsi" w:hAnsiTheme="minorHAnsi" w:cstheme="minorHAnsi"/>
          <w:sz w:val="22"/>
          <w:szCs w:val="22"/>
          <w:lang w:eastAsia="en-US"/>
        </w:rPr>
        <w:t>Annual saving of</w:t>
      </w:r>
      <w:r w:rsidRPr="00592C4C">
        <w:rPr>
          <w:rFonts w:asciiTheme="minorHAnsi" w:hAnsiTheme="minorHAnsi" w:cstheme="minorHAnsi"/>
          <w:sz w:val="22"/>
          <w:szCs w:val="22"/>
        </w:rPr>
        <w:t xml:space="preserve"> </w:t>
      </w:r>
      <w:r w:rsidRPr="00592C4C">
        <w:rPr>
          <w:rFonts w:asciiTheme="minorHAnsi" w:hAnsiTheme="minorHAnsi" w:cstheme="minorHAnsi"/>
          <w:b/>
          <w:sz w:val="22"/>
          <w:szCs w:val="22"/>
          <w:u w:val="single"/>
        </w:rPr>
        <w:t>£77,324</w:t>
      </w:r>
      <w:r w:rsidRPr="00592C4C">
        <w:rPr>
          <w:rFonts w:asciiTheme="minorHAnsi" w:hAnsiTheme="minorHAnsi" w:cstheme="minorHAnsi"/>
          <w:sz w:val="22"/>
          <w:szCs w:val="22"/>
        </w:rPr>
        <w:t xml:space="preserve"> </w:t>
      </w:r>
      <w:r w:rsidRPr="00592C4C">
        <w:rPr>
          <w:rFonts w:asciiTheme="minorHAnsi" w:hAnsiTheme="minorHAnsi" w:cstheme="minorHAnsi"/>
          <w:sz w:val="22"/>
          <w:szCs w:val="22"/>
          <w:lang w:eastAsia="en-US"/>
        </w:rPr>
        <w:t>in benefits not needed for</w:t>
      </w:r>
      <w:r w:rsidRPr="00592C4C">
        <w:rPr>
          <w:rFonts w:asciiTheme="minorHAnsi" w:hAnsiTheme="minorHAnsi" w:cstheme="minorHAnsi"/>
          <w:sz w:val="22"/>
          <w:szCs w:val="22"/>
        </w:rPr>
        <w:t xml:space="preserve"> </w:t>
      </w:r>
      <w:r w:rsidRPr="00592C4C">
        <w:rPr>
          <w:rFonts w:asciiTheme="minorHAnsi" w:hAnsiTheme="minorHAnsi" w:cstheme="minorHAnsi"/>
          <w:b/>
          <w:sz w:val="22"/>
          <w:szCs w:val="22"/>
        </w:rPr>
        <w:t xml:space="preserve">20 </w:t>
      </w:r>
      <w:proofErr w:type="gramStart"/>
      <w:r w:rsidRPr="00592C4C">
        <w:rPr>
          <w:rFonts w:asciiTheme="minorHAnsi" w:hAnsiTheme="minorHAnsi" w:cstheme="minorHAnsi"/>
          <w:b/>
          <w:sz w:val="22"/>
          <w:szCs w:val="22"/>
        </w:rPr>
        <w:t>people</w:t>
      </w:r>
      <w:proofErr w:type="gramEnd"/>
    </w:p>
    <w:p w14:paraId="29E9AE58" w14:textId="77777777" w:rsidR="00AA2A08" w:rsidRPr="00592C4C" w:rsidRDefault="00AA2A08" w:rsidP="00AA2A08">
      <w:pPr>
        <w:rPr>
          <w:rFonts w:asciiTheme="minorHAnsi" w:hAnsiTheme="minorHAnsi" w:cstheme="minorHAnsi"/>
          <w:sz w:val="22"/>
          <w:szCs w:val="22"/>
        </w:rPr>
      </w:pPr>
      <w:r w:rsidRPr="00592C4C">
        <w:rPr>
          <w:rFonts w:asciiTheme="minorHAnsi" w:hAnsiTheme="minorHAnsi" w:cstheme="minorHAnsi"/>
          <w:sz w:val="22"/>
          <w:szCs w:val="22"/>
          <w:u w:val="single"/>
        </w:rPr>
        <w:t>Case study</w:t>
      </w:r>
      <w:r w:rsidRPr="00592C4C">
        <w:rPr>
          <w:rFonts w:asciiTheme="minorHAnsi" w:hAnsiTheme="minorHAnsi" w:cstheme="minorHAnsi"/>
          <w:sz w:val="22"/>
          <w:szCs w:val="22"/>
        </w:rPr>
        <w:t xml:space="preserve"> – supported with health &amp; wellbeing issues to gently progress into placements and on to education/training/work.</w:t>
      </w:r>
    </w:p>
    <w:p w14:paraId="04D220CB" w14:textId="77777777" w:rsidR="00AA2A08" w:rsidRPr="00592C4C" w:rsidRDefault="00AA2A08" w:rsidP="00AA2A08">
      <w:pPr>
        <w:rPr>
          <w:rFonts w:asciiTheme="minorHAnsi" w:hAnsiTheme="minorHAnsi" w:cstheme="minorHAnsi"/>
          <w:sz w:val="22"/>
          <w:szCs w:val="22"/>
        </w:rPr>
      </w:pPr>
    </w:p>
    <w:p w14:paraId="0C40AF6A" w14:textId="1D05692A" w:rsidR="00AA2A08" w:rsidRPr="00592C4C" w:rsidRDefault="00AA2A08" w:rsidP="00592C4C">
      <w:pPr>
        <w:ind w:firstLine="360"/>
        <w:rPr>
          <w:rFonts w:asciiTheme="minorHAnsi" w:hAnsiTheme="minorHAnsi" w:cstheme="minorHAnsi"/>
          <w:sz w:val="22"/>
          <w:szCs w:val="22"/>
        </w:rPr>
      </w:pPr>
      <w:r w:rsidRPr="00592C4C">
        <w:rPr>
          <w:rFonts w:asciiTheme="minorHAnsi" w:hAnsiTheme="minorHAnsi" w:cstheme="minorHAnsi"/>
          <w:sz w:val="22"/>
          <w:szCs w:val="22"/>
        </w:rPr>
        <w:t xml:space="preserve"> ICF attracting </w:t>
      </w:r>
      <w:proofErr w:type="gramStart"/>
      <w:r w:rsidRPr="00592C4C">
        <w:rPr>
          <w:rFonts w:asciiTheme="minorHAnsi" w:hAnsiTheme="minorHAnsi" w:cstheme="minorHAnsi"/>
          <w:sz w:val="22"/>
          <w:szCs w:val="22"/>
        </w:rPr>
        <w:t>volunteers</w:t>
      </w:r>
      <w:proofErr w:type="gramEnd"/>
      <w:r w:rsidRPr="00592C4C">
        <w:rPr>
          <w:rFonts w:asciiTheme="minorHAnsi" w:hAnsiTheme="minorHAnsi" w:cstheme="minorHAnsi"/>
          <w:sz w:val="22"/>
          <w:szCs w:val="22"/>
        </w:rPr>
        <w:t xml:space="preserve"> </w:t>
      </w:r>
    </w:p>
    <w:p w14:paraId="28963AAB" w14:textId="77777777" w:rsidR="00AA2A08" w:rsidRPr="00592C4C" w:rsidRDefault="00AA2A08" w:rsidP="00AA2A08">
      <w:pPr>
        <w:pStyle w:val="ListParagraph"/>
        <w:numPr>
          <w:ilvl w:val="0"/>
          <w:numId w:val="7"/>
        </w:numPr>
        <w:rPr>
          <w:rFonts w:asciiTheme="minorHAnsi" w:hAnsiTheme="minorHAnsi" w:cstheme="minorHAnsi"/>
          <w:sz w:val="22"/>
          <w:szCs w:val="22"/>
          <w:lang w:eastAsia="en-US"/>
        </w:rPr>
      </w:pPr>
      <w:r w:rsidRPr="00592C4C">
        <w:rPr>
          <w:rFonts w:asciiTheme="minorHAnsi" w:hAnsiTheme="minorHAnsi" w:cstheme="minorHAnsi"/>
          <w:sz w:val="22"/>
          <w:szCs w:val="22"/>
          <w:lang w:eastAsia="en-US"/>
        </w:rPr>
        <w:t xml:space="preserve">382 volunteering - not yet </w:t>
      </w:r>
      <w:proofErr w:type="gramStart"/>
      <w:r w:rsidRPr="00592C4C">
        <w:rPr>
          <w:rFonts w:asciiTheme="minorHAnsi" w:hAnsiTheme="minorHAnsi" w:cstheme="minorHAnsi"/>
          <w:sz w:val="22"/>
          <w:szCs w:val="22"/>
          <w:lang w:eastAsia="en-US"/>
        </w:rPr>
        <w:t>costed</w:t>
      </w:r>
      <w:proofErr w:type="gramEnd"/>
    </w:p>
    <w:p w14:paraId="26557EB3" w14:textId="77777777" w:rsidR="00AA2A08" w:rsidRPr="00592C4C" w:rsidRDefault="00AA2A08" w:rsidP="00AA2A08">
      <w:pPr>
        <w:rPr>
          <w:rFonts w:asciiTheme="minorHAnsi" w:hAnsiTheme="minorHAnsi" w:cstheme="minorHAnsi"/>
          <w:sz w:val="22"/>
          <w:szCs w:val="22"/>
        </w:rPr>
      </w:pPr>
    </w:p>
    <w:p w14:paraId="38EA64EE" w14:textId="288FEB14" w:rsidR="00AA2A08" w:rsidRPr="00592C4C" w:rsidRDefault="00AA2A08" w:rsidP="00592C4C">
      <w:pPr>
        <w:ind w:firstLine="360"/>
        <w:rPr>
          <w:rFonts w:asciiTheme="minorHAnsi" w:hAnsiTheme="minorHAnsi" w:cstheme="minorHAnsi"/>
          <w:sz w:val="22"/>
          <w:szCs w:val="22"/>
        </w:rPr>
      </w:pPr>
      <w:r w:rsidRPr="00592C4C">
        <w:rPr>
          <w:rFonts w:asciiTheme="minorHAnsi" w:hAnsiTheme="minorHAnsi" w:cstheme="minorHAnsi"/>
          <w:sz w:val="22"/>
          <w:szCs w:val="22"/>
        </w:rPr>
        <w:t xml:space="preserve">ICF improving </w:t>
      </w:r>
      <w:proofErr w:type="gramStart"/>
      <w:r w:rsidRPr="00592C4C">
        <w:rPr>
          <w:rFonts w:asciiTheme="minorHAnsi" w:hAnsiTheme="minorHAnsi" w:cstheme="minorHAnsi"/>
          <w:sz w:val="22"/>
          <w:szCs w:val="22"/>
        </w:rPr>
        <w:t>environments</w:t>
      </w:r>
      <w:proofErr w:type="gramEnd"/>
      <w:r w:rsidRPr="00592C4C">
        <w:rPr>
          <w:rFonts w:asciiTheme="minorHAnsi" w:hAnsiTheme="minorHAnsi" w:cstheme="minorHAnsi"/>
          <w:sz w:val="22"/>
          <w:szCs w:val="22"/>
        </w:rPr>
        <w:t xml:space="preserve"> </w:t>
      </w:r>
    </w:p>
    <w:p w14:paraId="132ED861" w14:textId="77777777" w:rsidR="00AA2A08" w:rsidRPr="00592C4C" w:rsidRDefault="00AA2A08" w:rsidP="00AA2A08">
      <w:pPr>
        <w:pStyle w:val="ListParagraph"/>
        <w:numPr>
          <w:ilvl w:val="0"/>
          <w:numId w:val="7"/>
        </w:numPr>
        <w:rPr>
          <w:rFonts w:asciiTheme="minorHAnsi" w:hAnsiTheme="minorHAnsi" w:cstheme="minorHAnsi"/>
          <w:sz w:val="22"/>
          <w:szCs w:val="22"/>
          <w:lang w:eastAsia="en-US"/>
        </w:rPr>
      </w:pPr>
      <w:r w:rsidRPr="00592C4C">
        <w:rPr>
          <w:rFonts w:asciiTheme="minorHAnsi" w:hAnsiTheme="minorHAnsi" w:cstheme="minorHAnsi"/>
          <w:sz w:val="22"/>
          <w:szCs w:val="22"/>
          <w:lang w:eastAsia="en-US"/>
        </w:rPr>
        <w:t xml:space="preserve">Various environmental projects and responding to a range of requests for intervention – not yet </w:t>
      </w:r>
      <w:proofErr w:type="gramStart"/>
      <w:r w:rsidRPr="00592C4C">
        <w:rPr>
          <w:rFonts w:asciiTheme="minorHAnsi" w:hAnsiTheme="minorHAnsi" w:cstheme="minorHAnsi"/>
          <w:sz w:val="22"/>
          <w:szCs w:val="22"/>
          <w:lang w:eastAsia="en-US"/>
        </w:rPr>
        <w:t>costed</w:t>
      </w:r>
      <w:proofErr w:type="gramEnd"/>
    </w:p>
    <w:p w14:paraId="072FB385" w14:textId="77777777" w:rsidR="00AA2A08" w:rsidRPr="00592C4C" w:rsidRDefault="00AA2A08" w:rsidP="00AA2A08">
      <w:pPr>
        <w:rPr>
          <w:rFonts w:asciiTheme="minorHAnsi" w:hAnsiTheme="minorHAnsi" w:cstheme="minorHAnsi"/>
          <w:sz w:val="22"/>
          <w:szCs w:val="22"/>
        </w:rPr>
      </w:pPr>
    </w:p>
    <w:p w14:paraId="4C06A439" w14:textId="77777777" w:rsidR="00AA2A08" w:rsidRPr="00592C4C" w:rsidRDefault="00AA2A08" w:rsidP="00AA2A08">
      <w:pPr>
        <w:rPr>
          <w:rFonts w:asciiTheme="minorHAnsi" w:hAnsiTheme="minorHAnsi" w:cstheme="minorHAnsi"/>
          <w:b/>
          <w:sz w:val="22"/>
          <w:szCs w:val="22"/>
          <w:u w:val="single"/>
        </w:rPr>
      </w:pPr>
      <w:r w:rsidRPr="00592C4C">
        <w:rPr>
          <w:rFonts w:asciiTheme="minorHAnsi" w:hAnsiTheme="minorHAnsi" w:cstheme="minorHAnsi"/>
          <w:b/>
          <w:sz w:val="22"/>
          <w:szCs w:val="22"/>
          <w:u w:val="single"/>
        </w:rPr>
        <w:t>TOTAL COSTS AVOIDED IN 2022/23 = £317,116</w:t>
      </w:r>
    </w:p>
    <w:p w14:paraId="35D6ED4F" w14:textId="77777777" w:rsidR="00AA2A08" w:rsidRPr="00592C4C" w:rsidRDefault="00AA2A08" w:rsidP="00AA2A08">
      <w:pPr>
        <w:rPr>
          <w:rFonts w:asciiTheme="minorHAnsi" w:hAnsiTheme="minorHAnsi" w:cstheme="minorHAnsi"/>
          <w:b/>
          <w:sz w:val="22"/>
          <w:szCs w:val="22"/>
          <w:u w:val="single"/>
        </w:rPr>
      </w:pPr>
      <w:r w:rsidRPr="00592C4C">
        <w:rPr>
          <w:rFonts w:asciiTheme="minorHAnsi" w:hAnsiTheme="minorHAnsi" w:cstheme="minorHAnsi"/>
          <w:b/>
          <w:sz w:val="22"/>
          <w:szCs w:val="22"/>
          <w:u w:val="single"/>
        </w:rPr>
        <w:t>TOTAL INCOME GENERATED IN 2022/23 = £381,818</w:t>
      </w:r>
    </w:p>
    <w:p w14:paraId="115AB7EF" w14:textId="77777777" w:rsidR="00AA2A08" w:rsidRPr="00592C4C" w:rsidRDefault="00AA2A08" w:rsidP="00AA2A08">
      <w:pPr>
        <w:rPr>
          <w:rFonts w:asciiTheme="minorHAnsi" w:hAnsiTheme="minorHAnsi" w:cstheme="minorHAnsi"/>
          <w:sz w:val="22"/>
          <w:szCs w:val="22"/>
        </w:rPr>
      </w:pPr>
    </w:p>
    <w:p w14:paraId="28175BA6" w14:textId="77777777" w:rsidR="00AA2A08" w:rsidRPr="00592C4C" w:rsidRDefault="00AA2A08" w:rsidP="00592C4C">
      <w:pPr>
        <w:pStyle w:val="L2"/>
        <w:ind w:left="0" w:firstLine="0"/>
        <w:rPr>
          <w:rFonts w:asciiTheme="minorHAnsi" w:hAnsiTheme="minorHAnsi" w:cstheme="minorHAnsi"/>
          <w:sz w:val="22"/>
          <w:szCs w:val="22"/>
        </w:rPr>
      </w:pPr>
    </w:p>
    <w:p w14:paraId="2323AAA6" w14:textId="34A78219" w:rsidR="00AA2A08" w:rsidRPr="00592C4C" w:rsidRDefault="00AA2A08" w:rsidP="00AA2A08">
      <w:pPr>
        <w:pStyle w:val="L1"/>
        <w:rPr>
          <w:rFonts w:asciiTheme="minorHAnsi" w:hAnsiTheme="minorHAnsi" w:cstheme="minorHAnsi"/>
          <w:sz w:val="22"/>
          <w:szCs w:val="22"/>
          <w:u w:val="single"/>
        </w:rPr>
      </w:pPr>
      <w:r w:rsidRPr="00592C4C">
        <w:rPr>
          <w:rFonts w:asciiTheme="minorHAnsi" w:hAnsiTheme="minorHAnsi" w:cstheme="minorHAnsi"/>
          <w:sz w:val="22"/>
          <w:szCs w:val="22"/>
          <w:u w:val="single"/>
        </w:rPr>
        <w:t>Proposed Process: April 2024 to March 2026</w:t>
      </w:r>
    </w:p>
    <w:p w14:paraId="678E562C" w14:textId="77777777" w:rsidR="00592C4C" w:rsidRPr="00592C4C" w:rsidRDefault="00592C4C" w:rsidP="00AA2A08">
      <w:pPr>
        <w:pStyle w:val="L1"/>
        <w:rPr>
          <w:rFonts w:asciiTheme="minorHAnsi" w:hAnsiTheme="minorHAnsi" w:cstheme="minorHAnsi"/>
          <w:sz w:val="22"/>
          <w:szCs w:val="22"/>
          <w:u w:val="single"/>
        </w:rPr>
      </w:pPr>
    </w:p>
    <w:p w14:paraId="2A5676C0" w14:textId="5E287D98" w:rsidR="00AA2A08" w:rsidRPr="00592C4C" w:rsidRDefault="00592C4C" w:rsidP="00AA2A08">
      <w:pPr>
        <w:pStyle w:val="L2"/>
        <w:rPr>
          <w:rFonts w:asciiTheme="minorHAnsi" w:hAnsiTheme="minorHAnsi" w:cstheme="minorHAnsi"/>
          <w:sz w:val="22"/>
          <w:szCs w:val="22"/>
        </w:rPr>
      </w:pPr>
      <w:r w:rsidRPr="00592C4C">
        <w:rPr>
          <w:rFonts w:asciiTheme="minorHAnsi" w:hAnsiTheme="minorHAnsi" w:cstheme="minorHAnsi"/>
          <w:sz w:val="22"/>
          <w:szCs w:val="22"/>
        </w:rPr>
        <w:tab/>
      </w:r>
      <w:r w:rsidR="00AA2A08" w:rsidRPr="00592C4C">
        <w:rPr>
          <w:rFonts w:asciiTheme="minorHAnsi" w:hAnsiTheme="minorHAnsi" w:cstheme="minorHAnsi"/>
          <w:sz w:val="22"/>
          <w:szCs w:val="22"/>
        </w:rPr>
        <w:t xml:space="preserve">Within the current tight timescales already available, collectively we want to avoid any further factors delaying decision making, and in turn any required project extensions. To </w:t>
      </w:r>
      <w:r w:rsidR="00AA2A08" w:rsidRPr="00592C4C">
        <w:rPr>
          <w:rFonts w:asciiTheme="minorHAnsi" w:hAnsiTheme="minorHAnsi" w:cstheme="minorHAnsi"/>
          <w:sz w:val="22"/>
          <w:szCs w:val="22"/>
        </w:rPr>
        <w:lastRenderedPageBreak/>
        <w:t xml:space="preserve">allow us to align with the next Strategic Commissioning Plan, we need to follow the proposed timeline </w:t>
      </w:r>
      <w:proofErr w:type="gramStart"/>
      <w:r w:rsidR="00AA2A08" w:rsidRPr="00592C4C">
        <w:rPr>
          <w:rFonts w:asciiTheme="minorHAnsi" w:hAnsiTheme="minorHAnsi" w:cstheme="minorHAnsi"/>
          <w:sz w:val="22"/>
          <w:szCs w:val="22"/>
        </w:rPr>
        <w:t>below;</w:t>
      </w:r>
      <w:proofErr w:type="gramEnd"/>
    </w:p>
    <w:p w14:paraId="57302527" w14:textId="77777777" w:rsidR="00592C4C" w:rsidRPr="00592C4C" w:rsidRDefault="00592C4C" w:rsidP="00AA2A08">
      <w:pPr>
        <w:pStyle w:val="L2"/>
        <w:rPr>
          <w:rFonts w:asciiTheme="minorHAnsi" w:hAnsiTheme="minorHAnsi" w:cstheme="minorHAnsi"/>
          <w:sz w:val="22"/>
          <w:szCs w:val="22"/>
        </w:rPr>
      </w:pPr>
    </w:p>
    <w:p w14:paraId="5216726D" w14:textId="77777777" w:rsidR="00AA2A08" w:rsidRPr="00592C4C" w:rsidRDefault="00AA2A08" w:rsidP="00AA2A08">
      <w:pPr>
        <w:pStyle w:val="ListParagraph"/>
        <w:numPr>
          <w:ilvl w:val="0"/>
          <w:numId w:val="2"/>
        </w:numPr>
        <w:rPr>
          <w:rFonts w:asciiTheme="minorHAnsi" w:hAnsiTheme="minorHAnsi" w:cstheme="minorHAnsi"/>
          <w:sz w:val="22"/>
          <w:szCs w:val="22"/>
        </w:rPr>
      </w:pPr>
      <w:r w:rsidRPr="00592C4C">
        <w:rPr>
          <w:rFonts w:asciiTheme="minorHAnsi" w:hAnsiTheme="minorHAnsi" w:cstheme="minorHAnsi"/>
          <w:sz w:val="22"/>
          <w:szCs w:val="22"/>
        </w:rPr>
        <w:t>29</w:t>
      </w:r>
      <w:r w:rsidRPr="00592C4C">
        <w:rPr>
          <w:rFonts w:asciiTheme="minorHAnsi" w:hAnsiTheme="minorHAnsi" w:cstheme="minorHAnsi"/>
          <w:sz w:val="22"/>
          <w:szCs w:val="22"/>
          <w:vertAlign w:val="superscript"/>
        </w:rPr>
        <w:t>th</w:t>
      </w:r>
      <w:r w:rsidRPr="00592C4C">
        <w:rPr>
          <w:rFonts w:asciiTheme="minorHAnsi" w:hAnsiTheme="minorHAnsi" w:cstheme="minorHAnsi"/>
          <w:sz w:val="22"/>
          <w:szCs w:val="22"/>
        </w:rPr>
        <w:t xml:space="preserve"> November 2023 – process </w:t>
      </w:r>
      <w:proofErr w:type="gramStart"/>
      <w:r w:rsidRPr="00592C4C">
        <w:rPr>
          <w:rFonts w:asciiTheme="minorHAnsi" w:hAnsiTheme="minorHAnsi" w:cstheme="minorHAnsi"/>
          <w:sz w:val="22"/>
          <w:szCs w:val="22"/>
        </w:rPr>
        <w:t>approved</w:t>
      </w:r>
      <w:proofErr w:type="gramEnd"/>
    </w:p>
    <w:p w14:paraId="42308ECC" w14:textId="77777777" w:rsidR="00AA2A08" w:rsidRPr="00592C4C" w:rsidRDefault="00AA2A08" w:rsidP="00AA2A08">
      <w:pPr>
        <w:pStyle w:val="ListParagraph"/>
        <w:numPr>
          <w:ilvl w:val="0"/>
          <w:numId w:val="2"/>
        </w:numPr>
        <w:rPr>
          <w:rFonts w:asciiTheme="minorHAnsi" w:hAnsiTheme="minorHAnsi" w:cstheme="minorHAnsi"/>
          <w:sz w:val="22"/>
          <w:szCs w:val="22"/>
        </w:rPr>
      </w:pPr>
      <w:r w:rsidRPr="00592C4C">
        <w:rPr>
          <w:rFonts w:asciiTheme="minorHAnsi" w:hAnsiTheme="minorHAnsi" w:cstheme="minorHAnsi"/>
          <w:sz w:val="22"/>
          <w:szCs w:val="22"/>
        </w:rPr>
        <w:t>6</w:t>
      </w:r>
      <w:r w:rsidRPr="00592C4C">
        <w:rPr>
          <w:rFonts w:asciiTheme="minorHAnsi" w:hAnsiTheme="minorHAnsi" w:cstheme="minorHAnsi"/>
          <w:sz w:val="22"/>
          <w:szCs w:val="22"/>
          <w:vertAlign w:val="superscript"/>
        </w:rPr>
        <w:t>th</w:t>
      </w:r>
      <w:r w:rsidRPr="00592C4C">
        <w:rPr>
          <w:rFonts w:asciiTheme="minorHAnsi" w:hAnsiTheme="minorHAnsi" w:cstheme="minorHAnsi"/>
          <w:sz w:val="22"/>
          <w:szCs w:val="22"/>
        </w:rPr>
        <w:t xml:space="preserve"> December – funding allocation </w:t>
      </w:r>
      <w:proofErr w:type="gramStart"/>
      <w:r w:rsidRPr="00592C4C">
        <w:rPr>
          <w:rFonts w:asciiTheme="minorHAnsi" w:hAnsiTheme="minorHAnsi" w:cstheme="minorHAnsi"/>
          <w:sz w:val="22"/>
          <w:szCs w:val="22"/>
        </w:rPr>
        <w:t>confirmed</w:t>
      </w:r>
      <w:proofErr w:type="gramEnd"/>
    </w:p>
    <w:p w14:paraId="5BE301B9" w14:textId="027982CB" w:rsidR="00AA2A08" w:rsidRPr="00592C4C" w:rsidRDefault="00592C4C" w:rsidP="00AA2A08">
      <w:pPr>
        <w:pStyle w:val="ListParagraph"/>
        <w:numPr>
          <w:ilvl w:val="0"/>
          <w:numId w:val="2"/>
        </w:numPr>
        <w:rPr>
          <w:rFonts w:asciiTheme="minorHAnsi" w:hAnsiTheme="minorHAnsi" w:cstheme="minorHAnsi"/>
          <w:sz w:val="22"/>
          <w:szCs w:val="22"/>
        </w:rPr>
      </w:pPr>
      <w:r w:rsidRPr="00592C4C">
        <w:rPr>
          <w:rFonts w:asciiTheme="minorHAnsi" w:hAnsiTheme="minorHAnsi" w:cstheme="minorHAnsi"/>
          <w:sz w:val="22"/>
          <w:szCs w:val="22"/>
        </w:rPr>
        <w:t xml:space="preserve">w/c </w:t>
      </w:r>
      <w:r w:rsidR="00AA2A08" w:rsidRPr="00592C4C">
        <w:rPr>
          <w:rFonts w:asciiTheme="minorHAnsi" w:hAnsiTheme="minorHAnsi" w:cstheme="minorHAnsi"/>
          <w:sz w:val="22"/>
          <w:szCs w:val="22"/>
        </w:rPr>
        <w:t>11</w:t>
      </w:r>
      <w:r w:rsidR="00AA2A08" w:rsidRPr="00592C4C">
        <w:rPr>
          <w:rFonts w:asciiTheme="minorHAnsi" w:hAnsiTheme="minorHAnsi" w:cstheme="minorHAnsi"/>
          <w:sz w:val="22"/>
          <w:szCs w:val="22"/>
          <w:vertAlign w:val="superscript"/>
        </w:rPr>
        <w:t>th</w:t>
      </w:r>
      <w:r w:rsidR="00AA2A08" w:rsidRPr="00592C4C">
        <w:rPr>
          <w:rFonts w:asciiTheme="minorHAnsi" w:hAnsiTheme="minorHAnsi" w:cstheme="minorHAnsi"/>
          <w:sz w:val="22"/>
          <w:szCs w:val="22"/>
        </w:rPr>
        <w:t xml:space="preserve"> December 2023 to 31</w:t>
      </w:r>
      <w:r w:rsidR="00AA2A08" w:rsidRPr="00592C4C">
        <w:rPr>
          <w:rFonts w:asciiTheme="minorHAnsi" w:hAnsiTheme="minorHAnsi" w:cstheme="minorHAnsi"/>
          <w:sz w:val="22"/>
          <w:szCs w:val="22"/>
          <w:vertAlign w:val="superscript"/>
        </w:rPr>
        <w:t>st</w:t>
      </w:r>
      <w:r w:rsidR="00AA2A08" w:rsidRPr="00592C4C">
        <w:rPr>
          <w:rFonts w:asciiTheme="minorHAnsi" w:hAnsiTheme="minorHAnsi" w:cstheme="minorHAnsi"/>
          <w:sz w:val="22"/>
          <w:szCs w:val="22"/>
        </w:rPr>
        <w:t xml:space="preserve"> January 2024 – application process</w:t>
      </w:r>
    </w:p>
    <w:p w14:paraId="2EC5F957" w14:textId="77777777" w:rsidR="00AA2A08" w:rsidRPr="00592C4C" w:rsidRDefault="00AA2A08" w:rsidP="00AA2A08">
      <w:pPr>
        <w:pStyle w:val="ListParagraph"/>
        <w:numPr>
          <w:ilvl w:val="0"/>
          <w:numId w:val="2"/>
        </w:numPr>
        <w:rPr>
          <w:rFonts w:asciiTheme="minorHAnsi" w:hAnsiTheme="minorHAnsi" w:cstheme="minorHAnsi"/>
          <w:sz w:val="22"/>
          <w:szCs w:val="22"/>
        </w:rPr>
      </w:pPr>
      <w:r w:rsidRPr="00592C4C">
        <w:rPr>
          <w:rFonts w:asciiTheme="minorHAnsi" w:hAnsiTheme="minorHAnsi" w:cstheme="minorHAnsi"/>
          <w:sz w:val="22"/>
          <w:szCs w:val="22"/>
        </w:rPr>
        <w:t>1</w:t>
      </w:r>
      <w:r w:rsidRPr="00592C4C">
        <w:rPr>
          <w:rFonts w:asciiTheme="minorHAnsi" w:hAnsiTheme="minorHAnsi" w:cstheme="minorHAnsi"/>
          <w:sz w:val="22"/>
          <w:szCs w:val="22"/>
          <w:vertAlign w:val="superscript"/>
        </w:rPr>
        <w:t>st</w:t>
      </w:r>
      <w:r w:rsidRPr="00592C4C">
        <w:rPr>
          <w:rFonts w:asciiTheme="minorHAnsi" w:hAnsiTheme="minorHAnsi" w:cstheme="minorHAnsi"/>
          <w:sz w:val="22"/>
          <w:szCs w:val="22"/>
        </w:rPr>
        <w:t xml:space="preserve"> February 2024 to 28</w:t>
      </w:r>
      <w:r w:rsidRPr="00592C4C">
        <w:rPr>
          <w:rFonts w:asciiTheme="minorHAnsi" w:hAnsiTheme="minorHAnsi" w:cstheme="minorHAnsi"/>
          <w:sz w:val="22"/>
          <w:szCs w:val="22"/>
          <w:vertAlign w:val="superscript"/>
        </w:rPr>
        <w:t>th</w:t>
      </w:r>
      <w:r w:rsidRPr="00592C4C">
        <w:rPr>
          <w:rFonts w:asciiTheme="minorHAnsi" w:hAnsiTheme="minorHAnsi" w:cstheme="minorHAnsi"/>
          <w:sz w:val="22"/>
          <w:szCs w:val="22"/>
        </w:rPr>
        <w:t xml:space="preserve"> February 2024 – assessment via partnership panel</w:t>
      </w:r>
    </w:p>
    <w:p w14:paraId="7BFB3DFE" w14:textId="77777777" w:rsidR="00AA2A08" w:rsidRPr="00592C4C" w:rsidRDefault="00AA2A08" w:rsidP="00AA2A08">
      <w:pPr>
        <w:pStyle w:val="ListParagraph"/>
        <w:numPr>
          <w:ilvl w:val="0"/>
          <w:numId w:val="2"/>
        </w:numPr>
        <w:rPr>
          <w:rFonts w:asciiTheme="minorHAnsi" w:hAnsiTheme="minorHAnsi" w:cstheme="minorHAnsi"/>
          <w:sz w:val="22"/>
          <w:szCs w:val="22"/>
        </w:rPr>
      </w:pPr>
      <w:r w:rsidRPr="00592C4C">
        <w:rPr>
          <w:rFonts w:asciiTheme="minorHAnsi" w:hAnsiTheme="minorHAnsi" w:cstheme="minorHAnsi"/>
          <w:sz w:val="22"/>
          <w:szCs w:val="22"/>
        </w:rPr>
        <w:t>1</w:t>
      </w:r>
      <w:r w:rsidRPr="00592C4C">
        <w:rPr>
          <w:rFonts w:asciiTheme="minorHAnsi" w:hAnsiTheme="minorHAnsi" w:cstheme="minorHAnsi"/>
          <w:sz w:val="22"/>
          <w:szCs w:val="22"/>
          <w:vertAlign w:val="superscript"/>
        </w:rPr>
        <w:t>st</w:t>
      </w:r>
      <w:r w:rsidRPr="00592C4C">
        <w:rPr>
          <w:rFonts w:asciiTheme="minorHAnsi" w:hAnsiTheme="minorHAnsi" w:cstheme="minorHAnsi"/>
          <w:sz w:val="22"/>
          <w:szCs w:val="22"/>
        </w:rPr>
        <w:t xml:space="preserve"> March 2024 – organisations awarded / </w:t>
      </w:r>
      <w:proofErr w:type="gramStart"/>
      <w:r w:rsidRPr="00592C4C">
        <w:rPr>
          <w:rFonts w:asciiTheme="minorHAnsi" w:hAnsiTheme="minorHAnsi" w:cstheme="minorHAnsi"/>
          <w:sz w:val="22"/>
          <w:szCs w:val="22"/>
        </w:rPr>
        <w:t>rejected</w:t>
      </w:r>
      <w:proofErr w:type="gramEnd"/>
    </w:p>
    <w:p w14:paraId="70862CBC" w14:textId="77777777" w:rsidR="00AA2A08" w:rsidRPr="00592C4C" w:rsidRDefault="00AA2A08" w:rsidP="00AA2A08">
      <w:pPr>
        <w:pStyle w:val="ListParagraph"/>
        <w:numPr>
          <w:ilvl w:val="0"/>
          <w:numId w:val="2"/>
        </w:numPr>
        <w:rPr>
          <w:rFonts w:asciiTheme="minorHAnsi" w:hAnsiTheme="minorHAnsi" w:cstheme="minorHAnsi"/>
          <w:sz w:val="22"/>
          <w:szCs w:val="22"/>
        </w:rPr>
      </w:pPr>
      <w:r w:rsidRPr="00592C4C">
        <w:rPr>
          <w:rFonts w:asciiTheme="minorHAnsi" w:hAnsiTheme="minorHAnsi" w:cstheme="minorHAnsi"/>
          <w:sz w:val="22"/>
          <w:szCs w:val="22"/>
        </w:rPr>
        <w:t>1</w:t>
      </w:r>
      <w:r w:rsidRPr="00592C4C">
        <w:rPr>
          <w:rFonts w:asciiTheme="minorHAnsi" w:hAnsiTheme="minorHAnsi" w:cstheme="minorHAnsi"/>
          <w:sz w:val="22"/>
          <w:szCs w:val="22"/>
          <w:vertAlign w:val="superscript"/>
        </w:rPr>
        <w:t>st</w:t>
      </w:r>
      <w:r w:rsidRPr="00592C4C">
        <w:rPr>
          <w:rFonts w:asciiTheme="minorHAnsi" w:hAnsiTheme="minorHAnsi" w:cstheme="minorHAnsi"/>
          <w:sz w:val="22"/>
          <w:szCs w:val="22"/>
        </w:rPr>
        <w:t xml:space="preserve"> April 2024 – new projects </w:t>
      </w:r>
      <w:proofErr w:type="gramStart"/>
      <w:r w:rsidRPr="00592C4C">
        <w:rPr>
          <w:rFonts w:asciiTheme="minorHAnsi" w:hAnsiTheme="minorHAnsi" w:cstheme="minorHAnsi"/>
          <w:sz w:val="22"/>
          <w:szCs w:val="22"/>
        </w:rPr>
        <w:t>begin</w:t>
      </w:r>
      <w:proofErr w:type="gramEnd"/>
    </w:p>
    <w:p w14:paraId="666F250D" w14:textId="77777777" w:rsidR="00AA2A08" w:rsidRPr="00592C4C" w:rsidRDefault="00AA2A08" w:rsidP="00AA2A08">
      <w:pPr>
        <w:pStyle w:val="ListParagraph"/>
        <w:numPr>
          <w:ilvl w:val="0"/>
          <w:numId w:val="2"/>
        </w:numPr>
        <w:rPr>
          <w:rFonts w:asciiTheme="minorHAnsi" w:hAnsiTheme="minorHAnsi" w:cstheme="minorHAnsi"/>
          <w:sz w:val="22"/>
          <w:szCs w:val="22"/>
        </w:rPr>
      </w:pPr>
      <w:r w:rsidRPr="00592C4C">
        <w:rPr>
          <w:rFonts w:asciiTheme="minorHAnsi" w:hAnsiTheme="minorHAnsi" w:cstheme="minorHAnsi"/>
          <w:sz w:val="22"/>
          <w:szCs w:val="22"/>
        </w:rPr>
        <w:t>31</w:t>
      </w:r>
      <w:r w:rsidRPr="00592C4C">
        <w:rPr>
          <w:rFonts w:asciiTheme="minorHAnsi" w:hAnsiTheme="minorHAnsi" w:cstheme="minorHAnsi"/>
          <w:sz w:val="22"/>
          <w:szCs w:val="22"/>
          <w:vertAlign w:val="superscript"/>
        </w:rPr>
        <w:t>st</w:t>
      </w:r>
      <w:r w:rsidRPr="00592C4C">
        <w:rPr>
          <w:rFonts w:asciiTheme="minorHAnsi" w:hAnsiTheme="minorHAnsi" w:cstheme="minorHAnsi"/>
          <w:sz w:val="22"/>
          <w:szCs w:val="22"/>
        </w:rPr>
        <w:t xml:space="preserve"> March 2026 – new projects end</w:t>
      </w:r>
    </w:p>
    <w:p w14:paraId="50ED4E32" w14:textId="77777777" w:rsidR="00AA2A08" w:rsidRPr="00592C4C" w:rsidRDefault="00AA2A08" w:rsidP="00AA2A08">
      <w:pPr>
        <w:pStyle w:val="ListParagraph"/>
        <w:numPr>
          <w:ilvl w:val="0"/>
          <w:numId w:val="2"/>
        </w:numPr>
        <w:rPr>
          <w:rFonts w:asciiTheme="minorHAnsi" w:hAnsiTheme="minorHAnsi" w:cstheme="minorHAnsi"/>
          <w:sz w:val="22"/>
          <w:szCs w:val="22"/>
        </w:rPr>
      </w:pPr>
      <w:r w:rsidRPr="00592C4C">
        <w:rPr>
          <w:rFonts w:asciiTheme="minorHAnsi" w:hAnsiTheme="minorHAnsi" w:cstheme="minorHAnsi"/>
          <w:sz w:val="22"/>
          <w:szCs w:val="22"/>
        </w:rPr>
        <w:t>1</w:t>
      </w:r>
      <w:r w:rsidRPr="00592C4C">
        <w:rPr>
          <w:rFonts w:asciiTheme="minorHAnsi" w:hAnsiTheme="minorHAnsi" w:cstheme="minorHAnsi"/>
          <w:sz w:val="22"/>
          <w:szCs w:val="22"/>
          <w:vertAlign w:val="superscript"/>
        </w:rPr>
        <w:t>st</w:t>
      </w:r>
      <w:r w:rsidRPr="00592C4C">
        <w:rPr>
          <w:rFonts w:asciiTheme="minorHAnsi" w:hAnsiTheme="minorHAnsi" w:cstheme="minorHAnsi"/>
          <w:sz w:val="22"/>
          <w:szCs w:val="22"/>
        </w:rPr>
        <w:t xml:space="preserve"> April 2026 to 31</w:t>
      </w:r>
      <w:r w:rsidRPr="00592C4C">
        <w:rPr>
          <w:rFonts w:asciiTheme="minorHAnsi" w:hAnsiTheme="minorHAnsi" w:cstheme="minorHAnsi"/>
          <w:sz w:val="22"/>
          <w:szCs w:val="22"/>
          <w:vertAlign w:val="superscript"/>
        </w:rPr>
        <w:t>st</w:t>
      </w:r>
      <w:r w:rsidRPr="00592C4C">
        <w:rPr>
          <w:rFonts w:asciiTheme="minorHAnsi" w:hAnsiTheme="minorHAnsi" w:cstheme="minorHAnsi"/>
          <w:sz w:val="22"/>
          <w:szCs w:val="22"/>
        </w:rPr>
        <w:t xml:space="preserve"> March 2028 – further </w:t>
      </w:r>
      <w:proofErr w:type="gramStart"/>
      <w:r w:rsidRPr="00592C4C">
        <w:rPr>
          <w:rFonts w:asciiTheme="minorHAnsi" w:hAnsiTheme="minorHAnsi" w:cstheme="minorHAnsi"/>
          <w:sz w:val="22"/>
          <w:szCs w:val="22"/>
        </w:rPr>
        <w:t>2 year</w:t>
      </w:r>
      <w:proofErr w:type="gramEnd"/>
      <w:r w:rsidRPr="00592C4C">
        <w:rPr>
          <w:rFonts w:asciiTheme="minorHAnsi" w:hAnsiTheme="minorHAnsi" w:cstheme="minorHAnsi"/>
          <w:sz w:val="22"/>
          <w:szCs w:val="22"/>
        </w:rPr>
        <w:t xml:space="preserve"> funding round</w:t>
      </w:r>
    </w:p>
    <w:p w14:paraId="3ADDB246" w14:textId="77777777" w:rsidR="00AA2A08" w:rsidRPr="00592C4C" w:rsidRDefault="00AA2A08" w:rsidP="00AA2A08">
      <w:pPr>
        <w:pStyle w:val="ListParagraph"/>
        <w:numPr>
          <w:ilvl w:val="0"/>
          <w:numId w:val="2"/>
        </w:numPr>
        <w:rPr>
          <w:rFonts w:asciiTheme="minorHAnsi" w:hAnsiTheme="minorHAnsi" w:cstheme="minorHAnsi"/>
          <w:sz w:val="22"/>
          <w:szCs w:val="22"/>
        </w:rPr>
      </w:pPr>
      <w:r w:rsidRPr="00592C4C">
        <w:rPr>
          <w:rFonts w:asciiTheme="minorHAnsi" w:hAnsiTheme="minorHAnsi" w:cstheme="minorHAnsi"/>
          <w:sz w:val="22"/>
          <w:szCs w:val="22"/>
        </w:rPr>
        <w:t>1</w:t>
      </w:r>
      <w:r w:rsidRPr="00592C4C">
        <w:rPr>
          <w:rFonts w:asciiTheme="minorHAnsi" w:hAnsiTheme="minorHAnsi" w:cstheme="minorHAnsi"/>
          <w:sz w:val="22"/>
          <w:szCs w:val="22"/>
          <w:vertAlign w:val="superscript"/>
        </w:rPr>
        <w:t>st</w:t>
      </w:r>
      <w:r w:rsidRPr="00592C4C">
        <w:rPr>
          <w:rFonts w:asciiTheme="minorHAnsi" w:hAnsiTheme="minorHAnsi" w:cstheme="minorHAnsi"/>
          <w:sz w:val="22"/>
          <w:szCs w:val="22"/>
        </w:rPr>
        <w:t xml:space="preserve"> April 2028 to 31</w:t>
      </w:r>
      <w:r w:rsidRPr="00592C4C">
        <w:rPr>
          <w:rFonts w:asciiTheme="minorHAnsi" w:hAnsiTheme="minorHAnsi" w:cstheme="minorHAnsi"/>
          <w:sz w:val="22"/>
          <w:szCs w:val="22"/>
          <w:vertAlign w:val="superscript"/>
        </w:rPr>
        <w:t>st</w:t>
      </w:r>
      <w:r w:rsidRPr="00592C4C">
        <w:rPr>
          <w:rFonts w:asciiTheme="minorHAnsi" w:hAnsiTheme="minorHAnsi" w:cstheme="minorHAnsi"/>
          <w:sz w:val="22"/>
          <w:szCs w:val="22"/>
        </w:rPr>
        <w:t xml:space="preserve"> March 2031 – alignment with new Strategic Commissioning Plan, move to </w:t>
      </w:r>
      <w:proofErr w:type="gramStart"/>
      <w:r w:rsidRPr="00592C4C">
        <w:rPr>
          <w:rFonts w:asciiTheme="minorHAnsi" w:hAnsiTheme="minorHAnsi" w:cstheme="minorHAnsi"/>
          <w:sz w:val="22"/>
          <w:szCs w:val="22"/>
        </w:rPr>
        <w:t>3 year</w:t>
      </w:r>
      <w:proofErr w:type="gramEnd"/>
      <w:r w:rsidRPr="00592C4C">
        <w:rPr>
          <w:rFonts w:asciiTheme="minorHAnsi" w:hAnsiTheme="minorHAnsi" w:cstheme="minorHAnsi"/>
          <w:sz w:val="22"/>
          <w:szCs w:val="22"/>
        </w:rPr>
        <w:t xml:space="preserve"> funding cycle</w:t>
      </w:r>
    </w:p>
    <w:p w14:paraId="660D06A9" w14:textId="77777777" w:rsidR="00AA2A08" w:rsidRPr="00592C4C" w:rsidRDefault="00AA2A08" w:rsidP="00AA2A08">
      <w:pPr>
        <w:pStyle w:val="L2"/>
        <w:rPr>
          <w:rFonts w:asciiTheme="minorHAnsi" w:hAnsiTheme="minorHAnsi" w:cstheme="minorHAnsi"/>
          <w:sz w:val="22"/>
          <w:szCs w:val="22"/>
        </w:rPr>
      </w:pPr>
    </w:p>
    <w:p w14:paraId="1CC57C6E" w14:textId="63AC6F52" w:rsidR="00AA2A08" w:rsidRPr="00592C4C" w:rsidRDefault="00592C4C" w:rsidP="00AA2A08">
      <w:pPr>
        <w:pStyle w:val="L2"/>
        <w:rPr>
          <w:rFonts w:asciiTheme="minorHAnsi" w:hAnsiTheme="minorHAnsi" w:cstheme="minorHAnsi"/>
          <w:sz w:val="22"/>
          <w:szCs w:val="22"/>
        </w:rPr>
      </w:pPr>
      <w:r w:rsidRPr="00592C4C">
        <w:rPr>
          <w:rFonts w:asciiTheme="minorHAnsi" w:hAnsiTheme="minorHAnsi" w:cstheme="minorHAnsi"/>
          <w:sz w:val="22"/>
          <w:szCs w:val="22"/>
        </w:rPr>
        <w:tab/>
      </w:r>
      <w:r w:rsidR="00AA2A08" w:rsidRPr="00592C4C">
        <w:rPr>
          <w:rFonts w:asciiTheme="minorHAnsi" w:hAnsiTheme="minorHAnsi" w:cstheme="minorHAnsi"/>
          <w:sz w:val="22"/>
          <w:szCs w:val="22"/>
        </w:rPr>
        <w:t xml:space="preserve">The 4 fund priorities, in line with the Strategic Commissioning Plan, are as </w:t>
      </w:r>
      <w:proofErr w:type="gramStart"/>
      <w:r w:rsidR="00AA2A08" w:rsidRPr="00592C4C">
        <w:rPr>
          <w:rFonts w:asciiTheme="minorHAnsi" w:hAnsiTheme="minorHAnsi" w:cstheme="minorHAnsi"/>
          <w:sz w:val="22"/>
          <w:szCs w:val="22"/>
        </w:rPr>
        <w:t>follows;</w:t>
      </w:r>
      <w:proofErr w:type="gramEnd"/>
    </w:p>
    <w:p w14:paraId="5F43452D" w14:textId="77777777" w:rsidR="00AA2A08" w:rsidRPr="00592C4C" w:rsidRDefault="00AA2A08" w:rsidP="00AA2A08">
      <w:pPr>
        <w:pStyle w:val="ListParagraph"/>
        <w:numPr>
          <w:ilvl w:val="0"/>
          <w:numId w:val="2"/>
        </w:numPr>
        <w:rPr>
          <w:rFonts w:asciiTheme="minorHAnsi" w:hAnsiTheme="minorHAnsi" w:cstheme="minorHAnsi"/>
          <w:sz w:val="22"/>
          <w:szCs w:val="22"/>
        </w:rPr>
      </w:pPr>
      <w:r w:rsidRPr="00592C4C">
        <w:rPr>
          <w:rFonts w:asciiTheme="minorHAnsi" w:hAnsiTheme="minorHAnsi" w:cstheme="minorHAnsi"/>
          <w:sz w:val="22"/>
          <w:szCs w:val="22"/>
        </w:rPr>
        <w:t>Early intervention and prevention</w:t>
      </w:r>
    </w:p>
    <w:p w14:paraId="32C1B88C" w14:textId="77777777" w:rsidR="00AA2A08" w:rsidRPr="00592C4C" w:rsidRDefault="00AA2A08" w:rsidP="00AA2A08">
      <w:pPr>
        <w:pStyle w:val="ListParagraph"/>
        <w:numPr>
          <w:ilvl w:val="0"/>
          <w:numId w:val="2"/>
        </w:numPr>
        <w:rPr>
          <w:rFonts w:asciiTheme="minorHAnsi" w:hAnsiTheme="minorHAnsi" w:cstheme="minorHAnsi"/>
          <w:sz w:val="22"/>
          <w:szCs w:val="22"/>
        </w:rPr>
      </w:pPr>
      <w:r w:rsidRPr="00592C4C">
        <w:rPr>
          <w:rFonts w:asciiTheme="minorHAnsi" w:hAnsiTheme="minorHAnsi" w:cstheme="minorHAnsi"/>
          <w:sz w:val="22"/>
          <w:szCs w:val="22"/>
        </w:rPr>
        <w:t>Addressing mental health and addictions</w:t>
      </w:r>
    </w:p>
    <w:p w14:paraId="4CD1AD99" w14:textId="77777777" w:rsidR="00AA2A08" w:rsidRPr="00592C4C" w:rsidRDefault="00AA2A08" w:rsidP="00AA2A08">
      <w:pPr>
        <w:pStyle w:val="ListParagraph"/>
        <w:numPr>
          <w:ilvl w:val="0"/>
          <w:numId w:val="2"/>
        </w:numPr>
        <w:rPr>
          <w:rFonts w:asciiTheme="minorHAnsi" w:hAnsiTheme="minorHAnsi" w:cstheme="minorHAnsi"/>
          <w:sz w:val="22"/>
          <w:szCs w:val="22"/>
        </w:rPr>
      </w:pPr>
      <w:r w:rsidRPr="00592C4C">
        <w:rPr>
          <w:rFonts w:asciiTheme="minorHAnsi" w:hAnsiTheme="minorHAnsi" w:cstheme="minorHAnsi"/>
          <w:sz w:val="22"/>
          <w:szCs w:val="22"/>
        </w:rPr>
        <w:t>Improving unscheduled care and optimising intermediate care</w:t>
      </w:r>
    </w:p>
    <w:p w14:paraId="22FD9F26" w14:textId="77777777" w:rsidR="00AA2A08" w:rsidRPr="00592C4C" w:rsidRDefault="00AA2A08" w:rsidP="00AA2A08">
      <w:pPr>
        <w:pStyle w:val="ListParagraph"/>
        <w:numPr>
          <w:ilvl w:val="0"/>
          <w:numId w:val="2"/>
        </w:numPr>
        <w:rPr>
          <w:rFonts w:asciiTheme="minorHAnsi" w:hAnsiTheme="minorHAnsi" w:cstheme="minorHAnsi"/>
          <w:sz w:val="22"/>
          <w:szCs w:val="22"/>
        </w:rPr>
      </w:pPr>
      <w:r w:rsidRPr="00592C4C">
        <w:rPr>
          <w:rFonts w:asciiTheme="minorHAnsi" w:hAnsiTheme="minorHAnsi" w:cstheme="minorHAnsi"/>
          <w:sz w:val="22"/>
          <w:szCs w:val="22"/>
        </w:rPr>
        <w:t>Supporting carers</w:t>
      </w:r>
    </w:p>
    <w:p w14:paraId="76CF431A" w14:textId="77777777" w:rsidR="00AA2A08" w:rsidRPr="00592C4C" w:rsidRDefault="00AA2A08" w:rsidP="00AA2A08">
      <w:pPr>
        <w:pStyle w:val="L2"/>
        <w:rPr>
          <w:rFonts w:asciiTheme="minorHAnsi" w:hAnsiTheme="minorHAnsi" w:cstheme="minorHAnsi"/>
          <w:sz w:val="22"/>
          <w:szCs w:val="22"/>
        </w:rPr>
      </w:pPr>
    </w:p>
    <w:p w14:paraId="084E3588" w14:textId="120AE02C" w:rsidR="00AA2A08" w:rsidRPr="00592C4C" w:rsidRDefault="00592C4C" w:rsidP="00AA2A08">
      <w:pPr>
        <w:pStyle w:val="L2"/>
        <w:rPr>
          <w:rFonts w:asciiTheme="minorHAnsi" w:hAnsiTheme="minorHAnsi" w:cstheme="minorHAnsi"/>
          <w:sz w:val="22"/>
          <w:szCs w:val="22"/>
        </w:rPr>
      </w:pPr>
      <w:r w:rsidRPr="00592C4C">
        <w:rPr>
          <w:rFonts w:asciiTheme="minorHAnsi" w:hAnsiTheme="minorHAnsi" w:cstheme="minorHAnsi"/>
          <w:sz w:val="22"/>
          <w:szCs w:val="22"/>
        </w:rPr>
        <w:tab/>
      </w:r>
      <w:r w:rsidR="00AA2A08" w:rsidRPr="00592C4C">
        <w:rPr>
          <w:rFonts w:asciiTheme="minorHAnsi" w:hAnsiTheme="minorHAnsi" w:cstheme="minorHAnsi"/>
          <w:sz w:val="22"/>
          <w:szCs w:val="22"/>
        </w:rPr>
        <w:t>In terms of fund guidance and how to apply, the Health and Social Care Partnership have been the local signatory for our approach to the Communities Mental Health and Wellbeing Fund (CMHWF). Colleagues have also been part of the partnership panel and embedded themselves as part of our managed fund process. Through this process, Health and Social Care colleagues have shared their view that the ICF in future, in terms of fund guidance, should be shaped on the principles and practices developed over the past few years with the CMHWF).</w:t>
      </w:r>
    </w:p>
    <w:p w14:paraId="3B686A43" w14:textId="77777777" w:rsidR="00AA2A08" w:rsidRPr="00592C4C" w:rsidRDefault="00AA2A08" w:rsidP="00AA2A08">
      <w:pPr>
        <w:pStyle w:val="L2"/>
        <w:rPr>
          <w:rFonts w:asciiTheme="minorHAnsi" w:hAnsiTheme="minorHAnsi" w:cstheme="minorHAnsi"/>
          <w:sz w:val="22"/>
          <w:szCs w:val="22"/>
        </w:rPr>
      </w:pPr>
    </w:p>
    <w:p w14:paraId="2FC16D99" w14:textId="58EBD539" w:rsidR="00AA2A08" w:rsidRPr="00592C4C" w:rsidRDefault="00592C4C" w:rsidP="00AA2A08">
      <w:pPr>
        <w:pStyle w:val="L2"/>
        <w:rPr>
          <w:rFonts w:asciiTheme="minorHAnsi" w:hAnsiTheme="minorHAnsi" w:cstheme="minorHAnsi"/>
          <w:sz w:val="22"/>
          <w:szCs w:val="22"/>
        </w:rPr>
      </w:pPr>
      <w:r w:rsidRPr="00592C4C">
        <w:rPr>
          <w:rFonts w:asciiTheme="minorHAnsi" w:hAnsiTheme="minorHAnsi" w:cstheme="minorHAnsi"/>
          <w:sz w:val="22"/>
          <w:szCs w:val="22"/>
        </w:rPr>
        <w:tab/>
      </w:r>
      <w:r w:rsidR="00AA2A08" w:rsidRPr="00592C4C">
        <w:rPr>
          <w:rFonts w:asciiTheme="minorHAnsi" w:hAnsiTheme="minorHAnsi" w:cstheme="minorHAnsi"/>
          <w:sz w:val="22"/>
          <w:szCs w:val="22"/>
        </w:rPr>
        <w:t xml:space="preserve">A dedicated website page with all specific ICF information would be designed, example as follows: </w:t>
      </w:r>
      <w:hyperlink r:id="rId7" w:history="1">
        <w:r w:rsidR="00AA2A08" w:rsidRPr="00592C4C">
          <w:rPr>
            <w:rStyle w:val="Hyperlink"/>
            <w:rFonts w:asciiTheme="minorHAnsi" w:hAnsiTheme="minorHAnsi" w:cstheme="minorHAnsi"/>
            <w:color w:val="auto"/>
            <w:sz w:val="22"/>
            <w:szCs w:val="22"/>
          </w:rPr>
          <w:t>Welcome to Community Mental Health and Wellbeing Fund | Community Mental Health and Wellbeing Fund (vaslan.org.uk)</w:t>
        </w:r>
      </w:hyperlink>
      <w:r w:rsidR="00AA2A08" w:rsidRPr="00592C4C">
        <w:rPr>
          <w:rFonts w:asciiTheme="minorHAnsi" w:hAnsiTheme="minorHAnsi" w:cstheme="minorHAnsi"/>
          <w:sz w:val="22"/>
          <w:szCs w:val="22"/>
        </w:rPr>
        <w:t>. The ICF would follow the same principles in terms of our general information, application guidance notes, and how to apply.</w:t>
      </w:r>
    </w:p>
    <w:p w14:paraId="2A965795" w14:textId="77777777" w:rsidR="00AA2A08" w:rsidRPr="00592C4C" w:rsidRDefault="00AA2A08" w:rsidP="00AA2A08">
      <w:pPr>
        <w:pStyle w:val="L2"/>
        <w:rPr>
          <w:rFonts w:asciiTheme="minorHAnsi" w:hAnsiTheme="minorHAnsi" w:cstheme="minorHAnsi"/>
          <w:sz w:val="22"/>
          <w:szCs w:val="22"/>
        </w:rPr>
      </w:pPr>
    </w:p>
    <w:p w14:paraId="64AAB02A" w14:textId="65E8B364" w:rsidR="00AA2A08" w:rsidRPr="00592C4C" w:rsidRDefault="00AA2A08" w:rsidP="00AA2A08">
      <w:pPr>
        <w:ind w:left="720"/>
        <w:rPr>
          <w:rFonts w:asciiTheme="minorHAnsi" w:hAnsiTheme="minorHAnsi" w:cstheme="minorHAnsi"/>
          <w:sz w:val="22"/>
          <w:szCs w:val="22"/>
        </w:rPr>
      </w:pPr>
      <w:r w:rsidRPr="00592C4C">
        <w:rPr>
          <w:rFonts w:asciiTheme="minorHAnsi" w:hAnsiTheme="minorHAnsi" w:cstheme="minorHAnsi"/>
          <w:sz w:val="22"/>
          <w:szCs w:val="22"/>
        </w:rPr>
        <w:t xml:space="preserve">An example of our general information pack, which we will follow the principles of therein, can be found here: </w:t>
      </w:r>
      <w:hyperlink r:id="rId8" w:history="1">
        <w:r w:rsidRPr="00592C4C">
          <w:rPr>
            <w:rStyle w:val="Hyperlink"/>
            <w:rFonts w:asciiTheme="minorHAnsi" w:hAnsiTheme="minorHAnsi" w:cstheme="minorHAnsi"/>
            <w:color w:val="auto"/>
            <w:sz w:val="22"/>
            <w:szCs w:val="22"/>
          </w:rPr>
          <w:t>CMHWF 23/24 (vaslan.org.uk)</w:t>
        </w:r>
      </w:hyperlink>
      <w:r w:rsidRPr="00592C4C">
        <w:rPr>
          <w:rFonts w:asciiTheme="minorHAnsi" w:hAnsiTheme="minorHAnsi" w:cstheme="minorHAnsi"/>
          <w:sz w:val="22"/>
          <w:szCs w:val="22"/>
        </w:rPr>
        <w:t xml:space="preserve">. The primary difference will be with regards to the levels of grant funding available, as follows, with all decisions being made by a partnership panel with the Health and Social Care Partnership holding accountability over the final decisions </w:t>
      </w:r>
      <w:proofErr w:type="gramStart"/>
      <w:r w:rsidRPr="00592C4C">
        <w:rPr>
          <w:rFonts w:asciiTheme="minorHAnsi" w:hAnsiTheme="minorHAnsi" w:cstheme="minorHAnsi"/>
          <w:sz w:val="22"/>
          <w:szCs w:val="22"/>
        </w:rPr>
        <w:t>made;</w:t>
      </w:r>
      <w:proofErr w:type="gramEnd"/>
    </w:p>
    <w:p w14:paraId="03352E94" w14:textId="77777777" w:rsidR="00AA2A08" w:rsidRPr="00592C4C" w:rsidRDefault="00AA2A08" w:rsidP="00AA2A08">
      <w:pPr>
        <w:pStyle w:val="ListParagraph"/>
        <w:numPr>
          <w:ilvl w:val="0"/>
          <w:numId w:val="2"/>
        </w:numPr>
        <w:rPr>
          <w:rFonts w:asciiTheme="minorHAnsi" w:hAnsiTheme="minorHAnsi" w:cstheme="minorHAnsi"/>
          <w:sz w:val="22"/>
          <w:szCs w:val="22"/>
        </w:rPr>
      </w:pPr>
      <w:r w:rsidRPr="00592C4C">
        <w:rPr>
          <w:rFonts w:asciiTheme="minorHAnsi" w:hAnsiTheme="minorHAnsi" w:cstheme="minorHAnsi"/>
          <w:sz w:val="22"/>
          <w:szCs w:val="22"/>
        </w:rPr>
        <w:t xml:space="preserve">Micro grants of up to £2,000 aimed at un-constituted </w:t>
      </w:r>
      <w:proofErr w:type="gramStart"/>
      <w:r w:rsidRPr="00592C4C">
        <w:rPr>
          <w:rFonts w:asciiTheme="minorHAnsi" w:hAnsiTheme="minorHAnsi" w:cstheme="minorHAnsi"/>
          <w:sz w:val="22"/>
          <w:szCs w:val="22"/>
        </w:rPr>
        <w:t>organisations</w:t>
      </w:r>
      <w:proofErr w:type="gramEnd"/>
    </w:p>
    <w:p w14:paraId="2A4885C9" w14:textId="77777777" w:rsidR="00AA2A08" w:rsidRPr="00592C4C" w:rsidRDefault="00AA2A08" w:rsidP="00AA2A08">
      <w:pPr>
        <w:pStyle w:val="ListParagraph"/>
        <w:numPr>
          <w:ilvl w:val="0"/>
          <w:numId w:val="2"/>
        </w:numPr>
        <w:rPr>
          <w:rFonts w:asciiTheme="minorHAnsi" w:hAnsiTheme="minorHAnsi" w:cstheme="minorHAnsi"/>
          <w:sz w:val="22"/>
          <w:szCs w:val="22"/>
        </w:rPr>
      </w:pPr>
      <w:r w:rsidRPr="00592C4C">
        <w:rPr>
          <w:rFonts w:asciiTheme="minorHAnsi" w:hAnsiTheme="minorHAnsi" w:cstheme="minorHAnsi"/>
          <w:sz w:val="22"/>
          <w:szCs w:val="22"/>
        </w:rPr>
        <w:t xml:space="preserve">Small grants (1 </w:t>
      </w:r>
      <w:proofErr w:type="gramStart"/>
      <w:r w:rsidRPr="00592C4C">
        <w:rPr>
          <w:rFonts w:asciiTheme="minorHAnsi" w:hAnsiTheme="minorHAnsi" w:cstheme="minorHAnsi"/>
          <w:sz w:val="22"/>
          <w:szCs w:val="22"/>
        </w:rPr>
        <w:t>priority)  -</w:t>
      </w:r>
      <w:proofErr w:type="gramEnd"/>
      <w:r w:rsidRPr="00592C4C">
        <w:rPr>
          <w:rFonts w:asciiTheme="minorHAnsi" w:hAnsiTheme="minorHAnsi" w:cstheme="minorHAnsi"/>
          <w:sz w:val="22"/>
          <w:szCs w:val="22"/>
        </w:rPr>
        <w:t xml:space="preserve"> £2,001 to £7,500</w:t>
      </w:r>
    </w:p>
    <w:p w14:paraId="3B413555" w14:textId="77777777" w:rsidR="00AA2A08" w:rsidRPr="00592C4C" w:rsidRDefault="00AA2A08" w:rsidP="00AA2A08">
      <w:pPr>
        <w:pStyle w:val="ListParagraph"/>
        <w:numPr>
          <w:ilvl w:val="0"/>
          <w:numId w:val="2"/>
        </w:numPr>
        <w:rPr>
          <w:rFonts w:asciiTheme="minorHAnsi" w:hAnsiTheme="minorHAnsi" w:cstheme="minorHAnsi"/>
          <w:sz w:val="22"/>
          <w:szCs w:val="22"/>
        </w:rPr>
      </w:pPr>
      <w:r w:rsidRPr="00592C4C">
        <w:rPr>
          <w:rFonts w:asciiTheme="minorHAnsi" w:hAnsiTheme="minorHAnsi" w:cstheme="minorHAnsi"/>
          <w:sz w:val="22"/>
          <w:szCs w:val="22"/>
        </w:rPr>
        <w:t>Medium Grant (1+ priorities) - up to £20,000</w:t>
      </w:r>
    </w:p>
    <w:p w14:paraId="4FA7C908" w14:textId="77777777" w:rsidR="00AA2A08" w:rsidRPr="00592C4C" w:rsidRDefault="00AA2A08" w:rsidP="00AA2A08">
      <w:pPr>
        <w:pStyle w:val="ListParagraph"/>
        <w:numPr>
          <w:ilvl w:val="0"/>
          <w:numId w:val="2"/>
        </w:numPr>
        <w:rPr>
          <w:rFonts w:asciiTheme="minorHAnsi" w:hAnsiTheme="minorHAnsi" w:cstheme="minorHAnsi"/>
          <w:sz w:val="22"/>
          <w:szCs w:val="22"/>
        </w:rPr>
      </w:pPr>
      <w:r w:rsidRPr="00592C4C">
        <w:rPr>
          <w:rFonts w:asciiTheme="minorHAnsi" w:hAnsiTheme="minorHAnsi" w:cstheme="minorHAnsi"/>
          <w:sz w:val="22"/>
          <w:szCs w:val="22"/>
        </w:rPr>
        <w:t>Large Grant (2+ priorities) – up to £50,000</w:t>
      </w:r>
    </w:p>
    <w:p w14:paraId="72D818DC" w14:textId="77777777" w:rsidR="00AA2A08" w:rsidRPr="00592C4C" w:rsidRDefault="00AA2A08" w:rsidP="00AA2A08">
      <w:pPr>
        <w:pStyle w:val="L2"/>
        <w:rPr>
          <w:rFonts w:asciiTheme="minorHAnsi" w:hAnsiTheme="minorHAnsi" w:cstheme="minorHAnsi"/>
          <w:sz w:val="22"/>
          <w:szCs w:val="22"/>
        </w:rPr>
      </w:pPr>
    </w:p>
    <w:p w14:paraId="673EB1C5" w14:textId="2F1A448E" w:rsidR="00AA2A08" w:rsidRPr="00592C4C" w:rsidRDefault="00592C4C" w:rsidP="00AA2A08">
      <w:pPr>
        <w:pStyle w:val="L2"/>
        <w:rPr>
          <w:rFonts w:asciiTheme="minorHAnsi" w:hAnsiTheme="minorHAnsi" w:cstheme="minorHAnsi"/>
          <w:sz w:val="22"/>
          <w:szCs w:val="22"/>
        </w:rPr>
      </w:pPr>
      <w:r w:rsidRPr="00592C4C">
        <w:rPr>
          <w:rFonts w:asciiTheme="minorHAnsi" w:hAnsiTheme="minorHAnsi" w:cstheme="minorHAnsi"/>
          <w:sz w:val="22"/>
          <w:szCs w:val="22"/>
        </w:rPr>
        <w:tab/>
      </w:r>
      <w:r w:rsidR="00AA2A08" w:rsidRPr="00592C4C">
        <w:rPr>
          <w:rFonts w:asciiTheme="minorHAnsi" w:hAnsiTheme="minorHAnsi" w:cstheme="minorHAnsi"/>
          <w:sz w:val="22"/>
          <w:szCs w:val="22"/>
        </w:rPr>
        <w:t>In terms of evaluation requirements of successful grant holders, it is proposed that we move to a more proportionate model. It is proposed that we form a learning community between the organisations, coming together to share best practice. Monitoring and reporting returns will move to bi-annually, and we will co-produce a set of consistent evaluation tools to further demonstrate the impact being delivered in our communities via the ICF resource.</w:t>
      </w:r>
    </w:p>
    <w:p w14:paraId="6B36CA86" w14:textId="77777777" w:rsidR="00AA2A08" w:rsidRPr="00592C4C" w:rsidRDefault="00AA2A08" w:rsidP="00AA2A08">
      <w:pPr>
        <w:pStyle w:val="L2"/>
        <w:ind w:left="0" w:firstLine="0"/>
        <w:rPr>
          <w:rFonts w:asciiTheme="minorHAnsi" w:hAnsiTheme="minorHAnsi" w:cstheme="minorHAnsi"/>
          <w:sz w:val="22"/>
          <w:szCs w:val="22"/>
        </w:rPr>
      </w:pPr>
    </w:p>
    <w:p w14:paraId="30046F77" w14:textId="77777777" w:rsidR="00AA2A08" w:rsidRPr="00592C4C" w:rsidRDefault="00AA2A08" w:rsidP="00AA2A08">
      <w:pPr>
        <w:pStyle w:val="L2"/>
        <w:ind w:left="0" w:firstLine="0"/>
        <w:rPr>
          <w:rFonts w:asciiTheme="minorHAnsi" w:hAnsiTheme="minorHAnsi" w:cstheme="minorHAnsi"/>
          <w:sz w:val="22"/>
          <w:szCs w:val="22"/>
        </w:rPr>
      </w:pPr>
    </w:p>
    <w:p w14:paraId="3534FA94" w14:textId="209346EC" w:rsidR="00AA2A08" w:rsidRPr="00592C4C" w:rsidRDefault="00AA2A08" w:rsidP="00AA2A08">
      <w:pPr>
        <w:pStyle w:val="L1"/>
        <w:rPr>
          <w:rFonts w:asciiTheme="minorHAnsi" w:hAnsiTheme="minorHAnsi" w:cstheme="minorHAnsi"/>
          <w:sz w:val="22"/>
          <w:szCs w:val="22"/>
          <w:u w:val="single"/>
        </w:rPr>
      </w:pPr>
      <w:r w:rsidRPr="00592C4C">
        <w:rPr>
          <w:rFonts w:asciiTheme="minorHAnsi" w:hAnsiTheme="minorHAnsi" w:cstheme="minorHAnsi"/>
          <w:sz w:val="22"/>
          <w:szCs w:val="22"/>
          <w:u w:val="single"/>
        </w:rPr>
        <w:lastRenderedPageBreak/>
        <w:t>Looking Ahead</w:t>
      </w:r>
    </w:p>
    <w:p w14:paraId="28F34EAD" w14:textId="77777777" w:rsidR="00592C4C" w:rsidRPr="00592C4C" w:rsidRDefault="00592C4C" w:rsidP="00AA2A08">
      <w:pPr>
        <w:pStyle w:val="L1"/>
        <w:rPr>
          <w:rFonts w:asciiTheme="minorHAnsi" w:hAnsiTheme="minorHAnsi" w:cstheme="minorHAnsi"/>
          <w:sz w:val="22"/>
          <w:szCs w:val="22"/>
          <w:u w:val="single"/>
        </w:rPr>
      </w:pPr>
    </w:p>
    <w:p w14:paraId="4C7DCB25" w14:textId="4CDF8B49" w:rsidR="00AA2A08" w:rsidRDefault="00592C4C" w:rsidP="00AA2A08">
      <w:pPr>
        <w:pStyle w:val="L2"/>
        <w:rPr>
          <w:rFonts w:asciiTheme="minorHAnsi" w:hAnsiTheme="minorHAnsi" w:cstheme="minorHAnsi"/>
          <w:sz w:val="22"/>
          <w:szCs w:val="22"/>
        </w:rPr>
      </w:pPr>
      <w:r w:rsidRPr="00592C4C">
        <w:rPr>
          <w:rFonts w:asciiTheme="minorHAnsi" w:hAnsiTheme="minorHAnsi" w:cstheme="minorHAnsi"/>
          <w:sz w:val="22"/>
          <w:szCs w:val="22"/>
        </w:rPr>
        <w:tab/>
      </w:r>
      <w:r w:rsidR="00AA2A08" w:rsidRPr="00592C4C">
        <w:rPr>
          <w:rFonts w:asciiTheme="minorHAnsi" w:hAnsiTheme="minorHAnsi" w:cstheme="minorHAnsi"/>
          <w:sz w:val="22"/>
          <w:szCs w:val="22"/>
        </w:rPr>
        <w:t xml:space="preserve">We acknowledge the economic challenges faced by HSCP colleagues, and the difficult decisions re resource allocation that lie ahead. The Sustainability &amp; Value Programme will support best use of available funds to support South Lanarkshire residents and deliver upon the Strategic Commissioning Plan. It has been widely acknowledged that some of the difficult decisions that lie ahead will lead to increased demand on third sector services. It is then essential that existing levels of community capacity are at worst maintained, if not built upon to mitigate. It is recommended based on the economic climate that the £650k remains static, acknowledging that </w:t>
      </w:r>
      <w:proofErr w:type="gramStart"/>
      <w:r w:rsidR="00AA2A08" w:rsidRPr="00592C4C">
        <w:rPr>
          <w:rFonts w:asciiTheme="minorHAnsi" w:hAnsiTheme="minorHAnsi" w:cstheme="minorHAnsi"/>
          <w:sz w:val="22"/>
          <w:szCs w:val="22"/>
        </w:rPr>
        <w:t>in itself is</w:t>
      </w:r>
      <w:proofErr w:type="gramEnd"/>
      <w:r w:rsidR="00AA2A08" w:rsidRPr="00592C4C">
        <w:rPr>
          <w:rFonts w:asciiTheme="minorHAnsi" w:hAnsiTheme="minorHAnsi" w:cstheme="minorHAnsi"/>
          <w:sz w:val="22"/>
          <w:szCs w:val="22"/>
        </w:rPr>
        <w:t xml:space="preserve"> a real terms reduction.</w:t>
      </w:r>
    </w:p>
    <w:p w14:paraId="1BC42359" w14:textId="77777777" w:rsidR="00876AA4" w:rsidRDefault="00876AA4" w:rsidP="00AA2A08">
      <w:pPr>
        <w:pStyle w:val="L2"/>
        <w:rPr>
          <w:rFonts w:asciiTheme="minorHAnsi" w:hAnsiTheme="minorHAnsi" w:cstheme="minorHAnsi"/>
          <w:sz w:val="22"/>
          <w:szCs w:val="22"/>
        </w:rPr>
      </w:pPr>
    </w:p>
    <w:p w14:paraId="0CEF6748" w14:textId="77777777" w:rsidR="00876AA4" w:rsidRDefault="00876AA4" w:rsidP="00AA2A08">
      <w:pPr>
        <w:pStyle w:val="L2"/>
        <w:rPr>
          <w:rFonts w:asciiTheme="minorHAnsi" w:hAnsiTheme="minorHAnsi" w:cstheme="minorHAnsi"/>
          <w:sz w:val="22"/>
          <w:szCs w:val="22"/>
        </w:rPr>
      </w:pPr>
    </w:p>
    <w:p w14:paraId="31DF0243" w14:textId="77777777" w:rsidR="00876AA4" w:rsidRDefault="00876AA4" w:rsidP="00AA2A08">
      <w:pPr>
        <w:pStyle w:val="L2"/>
        <w:rPr>
          <w:rFonts w:asciiTheme="minorHAnsi" w:hAnsiTheme="minorHAnsi" w:cstheme="minorHAnsi"/>
          <w:sz w:val="22"/>
          <w:szCs w:val="22"/>
        </w:rPr>
      </w:pPr>
    </w:p>
    <w:p w14:paraId="21F4A637" w14:textId="2A6AF1E3" w:rsidR="00876AA4" w:rsidRDefault="00876AA4" w:rsidP="00AA2A08">
      <w:pPr>
        <w:pStyle w:val="L2"/>
        <w:rPr>
          <w:rFonts w:asciiTheme="minorHAnsi" w:hAnsiTheme="minorHAnsi" w:cstheme="minorHAnsi"/>
          <w:sz w:val="22"/>
          <w:szCs w:val="22"/>
        </w:rPr>
      </w:pPr>
      <w:r>
        <w:rPr>
          <w:rFonts w:asciiTheme="minorHAnsi" w:hAnsiTheme="minorHAnsi" w:cstheme="minorHAnsi"/>
          <w:sz w:val="22"/>
          <w:szCs w:val="22"/>
        </w:rPr>
        <w:t>Steven Sweeney</w:t>
      </w:r>
    </w:p>
    <w:p w14:paraId="0DCB454B" w14:textId="06A8BD43" w:rsidR="00876AA4" w:rsidRDefault="00876AA4" w:rsidP="00AA2A08">
      <w:pPr>
        <w:pStyle w:val="L2"/>
        <w:rPr>
          <w:rFonts w:asciiTheme="minorHAnsi" w:hAnsiTheme="minorHAnsi" w:cstheme="minorHAnsi"/>
          <w:sz w:val="22"/>
          <w:szCs w:val="22"/>
        </w:rPr>
      </w:pPr>
      <w:r>
        <w:rPr>
          <w:rFonts w:asciiTheme="minorHAnsi" w:hAnsiTheme="minorHAnsi" w:cstheme="minorHAnsi"/>
          <w:sz w:val="22"/>
          <w:szCs w:val="22"/>
        </w:rPr>
        <w:t>CEO</w:t>
      </w:r>
    </w:p>
    <w:p w14:paraId="23A78FEB" w14:textId="7ED6AB47" w:rsidR="00876AA4" w:rsidRDefault="00876AA4" w:rsidP="00AA2A08">
      <w:pPr>
        <w:pStyle w:val="L2"/>
        <w:rPr>
          <w:rFonts w:asciiTheme="minorHAnsi" w:hAnsiTheme="minorHAnsi" w:cstheme="minorHAnsi"/>
          <w:sz w:val="22"/>
          <w:szCs w:val="22"/>
        </w:rPr>
      </w:pPr>
      <w:r>
        <w:rPr>
          <w:rFonts w:asciiTheme="minorHAnsi" w:hAnsiTheme="minorHAnsi" w:cstheme="minorHAnsi"/>
          <w:sz w:val="22"/>
          <w:szCs w:val="22"/>
        </w:rPr>
        <w:t>VASLan</w:t>
      </w:r>
    </w:p>
    <w:p w14:paraId="1C846549" w14:textId="13235C6D" w:rsidR="00876AA4" w:rsidRDefault="00000000" w:rsidP="00AA2A08">
      <w:pPr>
        <w:pStyle w:val="L2"/>
        <w:rPr>
          <w:rFonts w:asciiTheme="minorHAnsi" w:hAnsiTheme="minorHAnsi" w:cstheme="minorHAnsi"/>
          <w:sz w:val="22"/>
          <w:szCs w:val="22"/>
        </w:rPr>
      </w:pPr>
      <w:hyperlink r:id="rId9" w:history="1">
        <w:r w:rsidR="00876AA4" w:rsidRPr="007B3C1D">
          <w:rPr>
            <w:rStyle w:val="Hyperlink"/>
            <w:rFonts w:asciiTheme="minorHAnsi" w:hAnsiTheme="minorHAnsi" w:cstheme="minorHAnsi"/>
            <w:sz w:val="22"/>
            <w:szCs w:val="22"/>
          </w:rPr>
          <w:t>steven.sweeney@vaslan.org.uk</w:t>
        </w:r>
      </w:hyperlink>
      <w:r w:rsidR="00876AA4">
        <w:rPr>
          <w:rFonts w:asciiTheme="minorHAnsi" w:hAnsiTheme="minorHAnsi" w:cstheme="minorHAnsi"/>
          <w:sz w:val="22"/>
          <w:szCs w:val="22"/>
        </w:rPr>
        <w:t xml:space="preserve"> </w:t>
      </w:r>
    </w:p>
    <w:p w14:paraId="7E4B3FC9" w14:textId="3F8CAF81" w:rsidR="00876AA4" w:rsidRPr="00592C4C" w:rsidRDefault="00876AA4" w:rsidP="00AA2A08">
      <w:pPr>
        <w:pStyle w:val="L2"/>
        <w:rPr>
          <w:rFonts w:asciiTheme="minorHAnsi" w:hAnsiTheme="minorHAnsi" w:cstheme="minorHAnsi"/>
          <w:sz w:val="22"/>
          <w:szCs w:val="22"/>
        </w:rPr>
      </w:pPr>
      <w:r>
        <w:rPr>
          <w:rFonts w:asciiTheme="minorHAnsi" w:hAnsiTheme="minorHAnsi" w:cstheme="minorHAnsi"/>
          <w:sz w:val="22"/>
          <w:szCs w:val="22"/>
        </w:rPr>
        <w:t>7.12.23</w:t>
      </w:r>
    </w:p>
    <w:p w14:paraId="21C57B7C" w14:textId="77777777" w:rsidR="00AA2A08" w:rsidRPr="00592C4C" w:rsidRDefault="00AA2A08" w:rsidP="00AA2A08">
      <w:pPr>
        <w:rPr>
          <w:rFonts w:asciiTheme="minorHAnsi" w:hAnsiTheme="minorHAnsi" w:cstheme="minorHAnsi"/>
          <w:sz w:val="22"/>
          <w:szCs w:val="22"/>
        </w:rPr>
      </w:pPr>
    </w:p>
    <w:p w14:paraId="10D88678" w14:textId="77777777" w:rsidR="00AA2A08" w:rsidRPr="00592C4C" w:rsidRDefault="00AA2A08">
      <w:pPr>
        <w:rPr>
          <w:rFonts w:asciiTheme="minorHAnsi" w:hAnsiTheme="minorHAnsi" w:cstheme="minorHAnsi"/>
          <w:sz w:val="22"/>
          <w:szCs w:val="22"/>
        </w:rPr>
      </w:pPr>
    </w:p>
    <w:p w14:paraId="72D093DA" w14:textId="77777777" w:rsidR="00AA2A08" w:rsidRPr="00592C4C" w:rsidRDefault="00AA2A08">
      <w:pPr>
        <w:rPr>
          <w:rFonts w:asciiTheme="minorHAnsi" w:hAnsiTheme="minorHAnsi" w:cstheme="minorHAnsi"/>
          <w:sz w:val="22"/>
          <w:szCs w:val="22"/>
        </w:rPr>
      </w:pPr>
    </w:p>
    <w:sectPr w:rsidR="00AA2A08" w:rsidRPr="00592C4C">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BE16AB" w14:textId="77777777" w:rsidR="00B75C6F" w:rsidRDefault="00B75C6F" w:rsidP="00AA2A08">
      <w:r>
        <w:separator/>
      </w:r>
    </w:p>
  </w:endnote>
  <w:endnote w:type="continuationSeparator" w:id="0">
    <w:p w14:paraId="78C8C3B5" w14:textId="77777777" w:rsidR="00B75C6F" w:rsidRDefault="00B75C6F" w:rsidP="00AA2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9AD04" w14:textId="0ADFE3AB" w:rsidR="00AA2A08" w:rsidRPr="00AA2A08" w:rsidRDefault="00AA2A08" w:rsidP="00AA2A08">
    <w:pPr>
      <w:pStyle w:val="Footer"/>
      <w:jc w:val="center"/>
      <w:rPr>
        <w:rFonts w:asciiTheme="minorHAnsi" w:hAnsiTheme="minorHAnsi" w:cstheme="minorHAnsi"/>
        <w:sz w:val="22"/>
        <w:szCs w:val="22"/>
      </w:rPr>
    </w:pPr>
    <w:r w:rsidRPr="00AA2A08">
      <w:rPr>
        <w:rFonts w:asciiTheme="minorHAnsi" w:hAnsiTheme="minorHAnsi" w:cstheme="minorHAnsi"/>
        <w:sz w:val="22"/>
        <w:szCs w:val="22"/>
      </w:rPr>
      <w:t>7.12.23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6F726" w14:textId="77777777" w:rsidR="00B75C6F" w:rsidRDefault="00B75C6F" w:rsidP="00AA2A08">
      <w:r>
        <w:separator/>
      </w:r>
    </w:p>
  </w:footnote>
  <w:footnote w:type="continuationSeparator" w:id="0">
    <w:p w14:paraId="00A3EE3D" w14:textId="77777777" w:rsidR="00B75C6F" w:rsidRDefault="00B75C6F" w:rsidP="00AA2A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D3ED8" w14:textId="0E17750C" w:rsidR="00AA2A08" w:rsidRPr="00AA2A08" w:rsidRDefault="00AA2A08" w:rsidP="00AA2A08">
    <w:pPr>
      <w:pStyle w:val="Header"/>
      <w:jc w:val="center"/>
      <w:rPr>
        <w:rFonts w:asciiTheme="minorHAnsi" w:hAnsiTheme="minorHAnsi" w:cstheme="minorHAnsi"/>
        <w:sz w:val="32"/>
        <w:szCs w:val="32"/>
      </w:rPr>
    </w:pPr>
    <w:r w:rsidRPr="00AA2A08">
      <w:rPr>
        <w:rFonts w:asciiTheme="minorHAnsi" w:hAnsiTheme="minorHAnsi" w:cstheme="minorHAnsi"/>
        <w:sz w:val="32"/>
        <w:szCs w:val="32"/>
      </w:rPr>
      <w:t>Integrated Care Fund</w:t>
    </w:r>
    <w:r>
      <w:rPr>
        <w:rFonts w:asciiTheme="minorHAnsi" w:hAnsiTheme="minorHAnsi" w:cstheme="minorHAnsi"/>
        <w:sz w:val="32"/>
        <w:szCs w:val="32"/>
      </w:rPr>
      <w:t>:</w:t>
    </w:r>
    <w:r w:rsidRPr="00AA2A08">
      <w:rPr>
        <w:rFonts w:asciiTheme="minorHAnsi" w:hAnsiTheme="minorHAnsi" w:cstheme="minorHAnsi"/>
        <w:sz w:val="32"/>
        <w:szCs w:val="32"/>
      </w:rPr>
      <w:t xml:space="preserve"> April 2024 to March 2026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C0501"/>
    <w:multiLevelType w:val="hybridMultilevel"/>
    <w:tmpl w:val="68982B1E"/>
    <w:lvl w:ilvl="0" w:tplc="40B0F7D0">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BCB50C2"/>
    <w:multiLevelType w:val="hybridMultilevel"/>
    <w:tmpl w:val="141E1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0E2502"/>
    <w:multiLevelType w:val="hybridMultilevel"/>
    <w:tmpl w:val="11381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D853EC5"/>
    <w:multiLevelType w:val="hybridMultilevel"/>
    <w:tmpl w:val="0032EA7E"/>
    <w:lvl w:ilvl="0" w:tplc="7952E4AE">
      <w:start w:val="1"/>
      <w:numFmt w:val="decimal"/>
      <w:lvlText w:val="%1."/>
      <w:lvlJc w:val="left"/>
      <w:pPr>
        <w:ind w:left="1800" w:hanging="360"/>
      </w:pPr>
      <w:rPr>
        <w:b/>
        <w:bCs/>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4" w15:restartNumberingAfterBreak="0">
    <w:nsid w:val="67975803"/>
    <w:multiLevelType w:val="hybridMultilevel"/>
    <w:tmpl w:val="66924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5E6514E"/>
    <w:multiLevelType w:val="hybridMultilevel"/>
    <w:tmpl w:val="E2C2D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CAD3B83"/>
    <w:multiLevelType w:val="hybridMultilevel"/>
    <w:tmpl w:val="81D8A8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678317756">
    <w:abstractNumId w:val="3"/>
    <w:lvlOverride w:ilvl="0">
      <w:startOverride w:val="1"/>
    </w:lvlOverride>
    <w:lvlOverride w:ilvl="1"/>
    <w:lvlOverride w:ilvl="2"/>
    <w:lvlOverride w:ilvl="3"/>
    <w:lvlOverride w:ilvl="4"/>
    <w:lvlOverride w:ilvl="5"/>
    <w:lvlOverride w:ilvl="6"/>
    <w:lvlOverride w:ilvl="7"/>
    <w:lvlOverride w:ilvl="8"/>
  </w:num>
  <w:num w:numId="2" w16cid:durableId="902789847">
    <w:abstractNumId w:val="0"/>
  </w:num>
  <w:num w:numId="3" w16cid:durableId="345597433">
    <w:abstractNumId w:val="4"/>
  </w:num>
  <w:num w:numId="4" w16cid:durableId="707949336">
    <w:abstractNumId w:val="6"/>
  </w:num>
  <w:num w:numId="5" w16cid:durableId="155197294">
    <w:abstractNumId w:val="2"/>
  </w:num>
  <w:num w:numId="6" w16cid:durableId="498010645">
    <w:abstractNumId w:val="5"/>
  </w:num>
  <w:num w:numId="7" w16cid:durableId="9618831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A08"/>
    <w:rsid w:val="0038462F"/>
    <w:rsid w:val="00592C4C"/>
    <w:rsid w:val="00876AA4"/>
    <w:rsid w:val="009454D8"/>
    <w:rsid w:val="00AA2A08"/>
    <w:rsid w:val="00B75C6F"/>
    <w:rsid w:val="00F232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4109B"/>
  <w15:chartTrackingRefBased/>
  <w15:docId w15:val="{F767B403-7F30-44EF-B753-699B15FCE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2A08"/>
    <w:pPr>
      <w:spacing w:after="0" w:line="240" w:lineRule="auto"/>
    </w:pPr>
    <w:rPr>
      <w:rFonts w:ascii="Arial" w:eastAsia="Times New Roman" w:hAnsi="Arial" w:cs="Times New Roman"/>
      <w:kern w:val="0"/>
      <w:sz w:val="24"/>
      <w:szCs w:val="24"/>
      <w14:ligatures w14:val="none"/>
    </w:rPr>
  </w:style>
  <w:style w:type="paragraph" w:styleId="Heading3">
    <w:name w:val="heading 3"/>
    <w:basedOn w:val="Normal"/>
    <w:next w:val="Normal"/>
    <w:link w:val="Heading3Char"/>
    <w:uiPriority w:val="9"/>
    <w:semiHidden/>
    <w:unhideWhenUsed/>
    <w:qFormat/>
    <w:rsid w:val="00AA2A08"/>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2A08"/>
    <w:pPr>
      <w:tabs>
        <w:tab w:val="center" w:pos="4513"/>
        <w:tab w:val="right" w:pos="9026"/>
      </w:tabs>
    </w:pPr>
  </w:style>
  <w:style w:type="character" w:customStyle="1" w:styleId="HeaderChar">
    <w:name w:val="Header Char"/>
    <w:basedOn w:val="DefaultParagraphFont"/>
    <w:link w:val="Header"/>
    <w:uiPriority w:val="99"/>
    <w:rsid w:val="00AA2A08"/>
  </w:style>
  <w:style w:type="paragraph" w:styleId="Footer">
    <w:name w:val="footer"/>
    <w:basedOn w:val="Normal"/>
    <w:link w:val="FooterChar"/>
    <w:uiPriority w:val="99"/>
    <w:unhideWhenUsed/>
    <w:rsid w:val="00AA2A08"/>
    <w:pPr>
      <w:tabs>
        <w:tab w:val="center" w:pos="4513"/>
        <w:tab w:val="right" w:pos="9026"/>
      </w:tabs>
    </w:pPr>
  </w:style>
  <w:style w:type="character" w:customStyle="1" w:styleId="FooterChar">
    <w:name w:val="Footer Char"/>
    <w:basedOn w:val="DefaultParagraphFont"/>
    <w:link w:val="Footer"/>
    <w:uiPriority w:val="99"/>
    <w:rsid w:val="00AA2A08"/>
  </w:style>
  <w:style w:type="paragraph" w:customStyle="1" w:styleId="L1">
    <w:name w:val="L1"/>
    <w:basedOn w:val="Heading3"/>
    <w:rsid w:val="00AA2A08"/>
    <w:pPr>
      <w:keepLines w:val="0"/>
      <w:tabs>
        <w:tab w:val="left" w:pos="720"/>
      </w:tabs>
      <w:spacing w:before="0"/>
      <w:ind w:left="720" w:hanging="720"/>
    </w:pPr>
    <w:rPr>
      <w:rFonts w:ascii="Arial" w:eastAsia="Times New Roman" w:hAnsi="Arial" w:cs="Times New Roman"/>
      <w:b/>
      <w:color w:val="auto"/>
    </w:rPr>
  </w:style>
  <w:style w:type="paragraph" w:customStyle="1" w:styleId="L2">
    <w:name w:val="L2"/>
    <w:basedOn w:val="Normal"/>
    <w:link w:val="L2Char"/>
    <w:rsid w:val="00AA2A08"/>
    <w:pPr>
      <w:tabs>
        <w:tab w:val="left" w:pos="720"/>
      </w:tabs>
      <w:ind w:left="720" w:hanging="720"/>
    </w:pPr>
  </w:style>
  <w:style w:type="paragraph" w:styleId="ListParagraph">
    <w:name w:val="List Paragraph"/>
    <w:basedOn w:val="Normal"/>
    <w:uiPriority w:val="34"/>
    <w:qFormat/>
    <w:rsid w:val="00AA2A08"/>
    <w:pPr>
      <w:ind w:left="720"/>
      <w:contextualSpacing/>
    </w:pPr>
    <w:rPr>
      <w:rFonts w:ascii="Times New Roman" w:hAnsi="Times New Roman"/>
      <w:lang w:eastAsia="en-GB"/>
    </w:rPr>
  </w:style>
  <w:style w:type="character" w:customStyle="1" w:styleId="L2Char">
    <w:name w:val="L2 Char"/>
    <w:link w:val="L2"/>
    <w:locked/>
    <w:rsid w:val="00AA2A08"/>
    <w:rPr>
      <w:rFonts w:ascii="Arial" w:eastAsia="Times New Roman" w:hAnsi="Arial" w:cs="Times New Roman"/>
      <w:kern w:val="0"/>
      <w:sz w:val="24"/>
      <w:szCs w:val="24"/>
      <w14:ligatures w14:val="none"/>
    </w:rPr>
  </w:style>
  <w:style w:type="character" w:customStyle="1" w:styleId="Heading3Char">
    <w:name w:val="Heading 3 Char"/>
    <w:basedOn w:val="DefaultParagraphFont"/>
    <w:link w:val="Heading3"/>
    <w:uiPriority w:val="9"/>
    <w:semiHidden/>
    <w:rsid w:val="00AA2A08"/>
    <w:rPr>
      <w:rFonts w:asciiTheme="majorHAnsi" w:eastAsiaTheme="majorEastAsia" w:hAnsiTheme="majorHAnsi" w:cstheme="majorBidi"/>
      <w:color w:val="1F3763" w:themeColor="accent1" w:themeShade="7F"/>
      <w:kern w:val="0"/>
      <w:sz w:val="24"/>
      <w:szCs w:val="24"/>
      <w14:ligatures w14:val="none"/>
    </w:rPr>
  </w:style>
  <w:style w:type="table" w:styleId="TableGrid">
    <w:name w:val="Table Grid"/>
    <w:basedOn w:val="TableNormal"/>
    <w:uiPriority w:val="39"/>
    <w:rsid w:val="00AA2A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ntemporary">
    <w:name w:val="Table Contemporary"/>
    <w:basedOn w:val="TableNormal"/>
    <w:rsid w:val="00AA2A08"/>
    <w:pPr>
      <w:spacing w:after="0" w:line="240" w:lineRule="auto"/>
    </w:pPr>
    <w:rPr>
      <w:rFonts w:ascii="Times New Roman" w:eastAsia="Times New Roman" w:hAnsi="Times New Roman" w:cs="Times New Roman"/>
      <w:kern w:val="0"/>
      <w:sz w:val="20"/>
      <w:szCs w:val="20"/>
      <w:lang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styleId="Hyperlink">
    <w:name w:val="Hyperlink"/>
    <w:basedOn w:val="DefaultParagraphFont"/>
    <w:uiPriority w:val="99"/>
    <w:unhideWhenUsed/>
    <w:rsid w:val="00AA2A08"/>
    <w:rPr>
      <w:color w:val="0000FF"/>
      <w:u w:val="single"/>
    </w:rPr>
  </w:style>
  <w:style w:type="character" w:styleId="UnresolvedMention">
    <w:name w:val="Unresolved Mention"/>
    <w:basedOn w:val="DefaultParagraphFont"/>
    <w:uiPriority w:val="99"/>
    <w:semiHidden/>
    <w:unhideWhenUsed/>
    <w:rsid w:val="00876A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aslan.org.uk/cmhwf/sites/default/files/Complete%20-%20CMHWF%202023%20General%20Information.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vaslan.org.uk/cmhw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teven.sweeney@vaslan.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2014</Words>
  <Characters>11483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Sweeney</dc:creator>
  <cp:keywords/>
  <dc:description/>
  <cp:lastModifiedBy>Mhairi Alexander</cp:lastModifiedBy>
  <cp:revision>2</cp:revision>
  <dcterms:created xsi:type="dcterms:W3CDTF">2023-12-19T15:12:00Z</dcterms:created>
  <dcterms:modified xsi:type="dcterms:W3CDTF">2023-12-19T15:12:00Z</dcterms:modified>
</cp:coreProperties>
</file>